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28"/>
          <w:szCs w:val="28"/>
        </w:rPr>
      </w:pPr>
      <w:r>
        <w:rPr>
          <w:rFonts w:hint="eastAsia" w:ascii="仿宋" w:hAnsi="仿宋" w:eastAsia="仿宋" w:cs="仿宋"/>
          <w:b/>
          <w:bCs/>
          <w:sz w:val="28"/>
          <w:szCs w:val="28"/>
          <w:lang w:val="en-US" w:eastAsia="zh-CN"/>
        </w:rPr>
        <w:t>平顶山市监管中心（平顶山市看守所、平顶山市拘留所、</w:t>
      </w:r>
    </w:p>
    <w:p>
      <w:pPr>
        <w:jc w:val="center"/>
        <w:rPr>
          <w:rFonts w:hint="eastAsia" w:ascii="仿宋" w:hAnsi="仿宋" w:eastAsia="仿宋" w:cs="仿宋"/>
          <w:b/>
          <w:bCs/>
          <w:sz w:val="28"/>
          <w:szCs w:val="28"/>
        </w:rPr>
      </w:pPr>
      <w:r>
        <w:rPr>
          <w:rFonts w:hint="eastAsia" w:ascii="仿宋" w:hAnsi="仿宋" w:eastAsia="仿宋" w:cs="仿宋"/>
          <w:b/>
          <w:bCs/>
          <w:sz w:val="28"/>
          <w:szCs w:val="28"/>
          <w:lang w:val="en-US" w:eastAsia="zh-CN"/>
        </w:rPr>
        <w:t>平顶山市公安局强制隔离戒毒所）建设项目设计（三次）变更(补充)公告</w:t>
      </w:r>
    </w:p>
    <w:p>
      <w:pPr>
        <w:rPr>
          <w:rFonts w:hint="eastAsia" w:ascii="仿宋" w:hAnsi="仿宋" w:eastAsia="仿宋" w:cs="仿宋"/>
          <w:sz w:val="24"/>
          <w:szCs w:val="24"/>
        </w:rPr>
      </w:pPr>
      <w:r>
        <w:rPr>
          <w:rFonts w:hint="eastAsia" w:ascii="仿宋" w:hAnsi="仿宋" w:eastAsia="仿宋" w:cs="仿宋"/>
          <w:b/>
          <w:bCs/>
          <w:sz w:val="24"/>
          <w:szCs w:val="24"/>
        </w:rPr>
        <w:t>一、采购项目名称：</w:t>
      </w:r>
      <w:r>
        <w:rPr>
          <w:rFonts w:hint="eastAsia" w:ascii="仿宋" w:hAnsi="仿宋" w:eastAsia="仿宋" w:cs="仿宋"/>
          <w:sz w:val="24"/>
          <w:szCs w:val="24"/>
        </w:rPr>
        <w:t>平顶山市监管中心（平顶山市看守所、平顶山市拘留所、平顶山市公安局强制隔离戒毒所）建设项目设计（三次）。</w:t>
      </w:r>
    </w:p>
    <w:p>
      <w:pPr>
        <w:rPr>
          <w:rFonts w:hint="eastAsia" w:ascii="仿宋" w:hAnsi="仿宋" w:eastAsia="仿宋" w:cs="仿宋"/>
          <w:sz w:val="24"/>
          <w:szCs w:val="24"/>
        </w:rPr>
      </w:pPr>
      <w:r>
        <w:rPr>
          <w:rFonts w:hint="eastAsia" w:ascii="仿宋" w:hAnsi="仿宋" w:eastAsia="仿宋" w:cs="仿宋"/>
          <w:b/>
          <w:bCs/>
          <w:sz w:val="24"/>
          <w:szCs w:val="24"/>
        </w:rPr>
        <w:t>二、首次招标公告日期及发布媒介：</w:t>
      </w:r>
      <w:r>
        <w:rPr>
          <w:rFonts w:hint="eastAsia" w:ascii="仿宋" w:hAnsi="仿宋" w:eastAsia="仿宋" w:cs="仿宋"/>
          <w:sz w:val="24"/>
          <w:szCs w:val="24"/>
          <w:lang w:val="en-US"/>
        </w:rPr>
        <w:t>2020</w:t>
      </w:r>
      <w:r>
        <w:rPr>
          <w:rFonts w:hint="eastAsia" w:ascii="仿宋" w:hAnsi="仿宋" w:eastAsia="仿宋" w:cs="仿宋"/>
          <w:sz w:val="24"/>
          <w:szCs w:val="24"/>
        </w:rPr>
        <w:t>年</w:t>
      </w:r>
      <w:r>
        <w:rPr>
          <w:rFonts w:hint="eastAsia" w:ascii="仿宋" w:hAnsi="仿宋" w:eastAsia="仿宋" w:cs="仿宋"/>
          <w:sz w:val="24"/>
          <w:szCs w:val="24"/>
          <w:lang w:val="en-US"/>
        </w:rPr>
        <w:t>03</w:t>
      </w:r>
      <w:r>
        <w:rPr>
          <w:rFonts w:hint="eastAsia" w:ascii="仿宋" w:hAnsi="仿宋" w:eastAsia="仿宋" w:cs="仿宋"/>
          <w:sz w:val="24"/>
          <w:szCs w:val="24"/>
        </w:rPr>
        <w:t>月</w:t>
      </w:r>
      <w:r>
        <w:rPr>
          <w:rFonts w:hint="eastAsia" w:ascii="仿宋" w:hAnsi="仿宋" w:eastAsia="仿宋" w:cs="仿宋"/>
          <w:sz w:val="24"/>
          <w:szCs w:val="24"/>
          <w:lang w:val="en-US"/>
        </w:rPr>
        <w:t>26</w:t>
      </w:r>
      <w:r>
        <w:rPr>
          <w:rFonts w:hint="eastAsia" w:ascii="仿宋" w:hAnsi="仿宋" w:eastAsia="仿宋" w:cs="仿宋"/>
          <w:sz w:val="24"/>
          <w:szCs w:val="24"/>
        </w:rPr>
        <w:t>日、《河南省电子招标投标公共服务平台》、《全国公共资源交易平台（河南省•平顶山市）》、《河南豫信招标有限责任公司网站》、《平顶山建设信息网》。</w:t>
      </w:r>
    </w:p>
    <w:p>
      <w:pPr>
        <w:rPr>
          <w:rFonts w:hint="eastAsia" w:ascii="仿宋" w:hAnsi="仿宋" w:eastAsia="仿宋" w:cs="仿宋"/>
          <w:b w:val="0"/>
          <w:bCs w:val="0"/>
          <w:sz w:val="24"/>
          <w:szCs w:val="24"/>
        </w:rPr>
      </w:pPr>
      <w:r>
        <w:rPr>
          <w:rFonts w:hint="eastAsia" w:ascii="仿宋" w:hAnsi="仿宋" w:eastAsia="仿宋" w:cs="仿宋"/>
          <w:b/>
          <w:bCs/>
          <w:sz w:val="24"/>
          <w:szCs w:val="24"/>
        </w:rPr>
        <w:t>三、文件下载时间：</w:t>
      </w:r>
      <w:r>
        <w:rPr>
          <w:rFonts w:hint="eastAsia" w:ascii="仿宋" w:hAnsi="仿宋" w:eastAsia="仿宋" w:cs="仿宋"/>
          <w:b w:val="0"/>
          <w:bCs w:val="0"/>
          <w:sz w:val="24"/>
          <w:szCs w:val="24"/>
          <w:lang w:val="en-US"/>
        </w:rPr>
        <w:t>2020</w:t>
      </w:r>
      <w:r>
        <w:rPr>
          <w:rFonts w:hint="eastAsia" w:ascii="仿宋" w:hAnsi="仿宋" w:eastAsia="仿宋" w:cs="仿宋"/>
          <w:b w:val="0"/>
          <w:bCs w:val="0"/>
          <w:sz w:val="24"/>
          <w:szCs w:val="24"/>
        </w:rPr>
        <w:t>年</w:t>
      </w:r>
      <w:r>
        <w:rPr>
          <w:rFonts w:hint="eastAsia" w:ascii="仿宋" w:hAnsi="仿宋" w:eastAsia="仿宋" w:cs="仿宋"/>
          <w:b w:val="0"/>
          <w:bCs w:val="0"/>
          <w:sz w:val="24"/>
          <w:szCs w:val="24"/>
          <w:lang w:val="en-US"/>
        </w:rPr>
        <w:t>03</w:t>
      </w:r>
      <w:r>
        <w:rPr>
          <w:rFonts w:hint="eastAsia" w:ascii="仿宋" w:hAnsi="仿宋" w:eastAsia="仿宋" w:cs="仿宋"/>
          <w:b w:val="0"/>
          <w:bCs w:val="0"/>
          <w:sz w:val="24"/>
          <w:szCs w:val="24"/>
        </w:rPr>
        <w:t>月</w:t>
      </w:r>
      <w:r>
        <w:rPr>
          <w:rFonts w:hint="eastAsia" w:ascii="仿宋" w:hAnsi="仿宋" w:eastAsia="仿宋" w:cs="仿宋"/>
          <w:b w:val="0"/>
          <w:bCs w:val="0"/>
          <w:sz w:val="24"/>
          <w:szCs w:val="24"/>
          <w:lang w:val="en-US"/>
        </w:rPr>
        <w:t>27</w:t>
      </w:r>
      <w:r>
        <w:rPr>
          <w:rFonts w:hint="eastAsia" w:ascii="仿宋" w:hAnsi="仿宋" w:eastAsia="仿宋" w:cs="仿宋"/>
          <w:b w:val="0"/>
          <w:bCs w:val="0"/>
          <w:sz w:val="24"/>
          <w:szCs w:val="24"/>
        </w:rPr>
        <w:t>日</w:t>
      </w:r>
      <w:r>
        <w:rPr>
          <w:rFonts w:hint="eastAsia" w:ascii="仿宋" w:hAnsi="仿宋" w:eastAsia="仿宋" w:cs="仿宋"/>
          <w:b w:val="0"/>
          <w:bCs w:val="0"/>
          <w:sz w:val="24"/>
          <w:szCs w:val="24"/>
          <w:lang w:val="en-US"/>
        </w:rPr>
        <w:t>00</w:t>
      </w:r>
      <w:r>
        <w:rPr>
          <w:rFonts w:hint="eastAsia" w:ascii="仿宋" w:hAnsi="仿宋" w:eastAsia="仿宋" w:cs="仿宋"/>
          <w:b w:val="0"/>
          <w:bCs w:val="0"/>
          <w:sz w:val="24"/>
          <w:szCs w:val="24"/>
        </w:rPr>
        <w:t>时</w:t>
      </w:r>
      <w:r>
        <w:rPr>
          <w:rFonts w:hint="eastAsia" w:ascii="仿宋" w:hAnsi="仿宋" w:eastAsia="仿宋" w:cs="仿宋"/>
          <w:b w:val="0"/>
          <w:bCs w:val="0"/>
          <w:sz w:val="24"/>
          <w:szCs w:val="24"/>
          <w:lang w:val="en-US"/>
        </w:rPr>
        <w:t>00</w:t>
      </w:r>
      <w:r>
        <w:rPr>
          <w:rFonts w:hint="eastAsia" w:ascii="仿宋" w:hAnsi="仿宋" w:eastAsia="仿宋" w:cs="仿宋"/>
          <w:b w:val="0"/>
          <w:bCs w:val="0"/>
          <w:sz w:val="24"/>
          <w:szCs w:val="24"/>
        </w:rPr>
        <w:t>分至</w:t>
      </w:r>
      <w:r>
        <w:rPr>
          <w:rFonts w:hint="eastAsia" w:ascii="仿宋" w:hAnsi="仿宋" w:eastAsia="仿宋" w:cs="仿宋"/>
          <w:b w:val="0"/>
          <w:bCs w:val="0"/>
          <w:sz w:val="24"/>
          <w:szCs w:val="24"/>
          <w:lang w:val="en-US"/>
        </w:rPr>
        <w:t>2020</w:t>
      </w:r>
      <w:r>
        <w:rPr>
          <w:rFonts w:hint="eastAsia" w:ascii="仿宋" w:hAnsi="仿宋" w:eastAsia="仿宋" w:cs="仿宋"/>
          <w:b w:val="0"/>
          <w:bCs w:val="0"/>
          <w:sz w:val="24"/>
          <w:szCs w:val="24"/>
        </w:rPr>
        <w:t>年</w:t>
      </w:r>
      <w:r>
        <w:rPr>
          <w:rFonts w:hint="eastAsia" w:ascii="仿宋" w:hAnsi="仿宋" w:eastAsia="仿宋" w:cs="仿宋"/>
          <w:b w:val="0"/>
          <w:bCs w:val="0"/>
          <w:sz w:val="24"/>
          <w:szCs w:val="24"/>
          <w:lang w:val="en-US"/>
        </w:rPr>
        <w:t>05</w:t>
      </w:r>
      <w:r>
        <w:rPr>
          <w:rFonts w:hint="eastAsia" w:ascii="仿宋" w:hAnsi="仿宋" w:eastAsia="仿宋" w:cs="仿宋"/>
          <w:b w:val="0"/>
          <w:bCs w:val="0"/>
          <w:sz w:val="24"/>
          <w:szCs w:val="24"/>
        </w:rPr>
        <w:t>月</w:t>
      </w:r>
      <w:r>
        <w:rPr>
          <w:rFonts w:hint="eastAsia" w:ascii="仿宋" w:hAnsi="仿宋" w:eastAsia="仿宋" w:cs="仿宋"/>
          <w:b w:val="0"/>
          <w:bCs w:val="0"/>
          <w:sz w:val="24"/>
          <w:szCs w:val="24"/>
          <w:lang w:val="en-US"/>
        </w:rPr>
        <w:t>12</w:t>
      </w:r>
      <w:r>
        <w:rPr>
          <w:rFonts w:hint="eastAsia" w:ascii="仿宋" w:hAnsi="仿宋" w:eastAsia="仿宋" w:cs="仿宋"/>
          <w:b w:val="0"/>
          <w:bCs w:val="0"/>
          <w:sz w:val="24"/>
          <w:szCs w:val="24"/>
        </w:rPr>
        <w:t>日</w:t>
      </w:r>
      <w:r>
        <w:rPr>
          <w:rFonts w:hint="eastAsia" w:ascii="仿宋" w:hAnsi="仿宋" w:eastAsia="仿宋" w:cs="仿宋"/>
          <w:b w:val="0"/>
          <w:bCs w:val="0"/>
          <w:sz w:val="24"/>
          <w:szCs w:val="24"/>
          <w:lang w:val="en-US"/>
        </w:rPr>
        <w:t>23</w:t>
      </w:r>
      <w:r>
        <w:rPr>
          <w:rFonts w:hint="eastAsia" w:ascii="仿宋" w:hAnsi="仿宋" w:eastAsia="仿宋" w:cs="仿宋"/>
          <w:b w:val="0"/>
          <w:bCs w:val="0"/>
          <w:sz w:val="24"/>
          <w:szCs w:val="24"/>
        </w:rPr>
        <w:t>时</w:t>
      </w:r>
      <w:r>
        <w:rPr>
          <w:rFonts w:hint="eastAsia" w:ascii="仿宋" w:hAnsi="仿宋" w:eastAsia="仿宋" w:cs="仿宋"/>
          <w:b w:val="0"/>
          <w:bCs w:val="0"/>
          <w:sz w:val="24"/>
          <w:szCs w:val="24"/>
          <w:lang w:val="en-US"/>
        </w:rPr>
        <w:t>59</w:t>
      </w:r>
      <w:r>
        <w:rPr>
          <w:rFonts w:hint="eastAsia" w:ascii="仿宋" w:hAnsi="仿宋" w:eastAsia="仿宋" w:cs="仿宋"/>
          <w:b w:val="0"/>
          <w:bCs w:val="0"/>
          <w:sz w:val="24"/>
          <w:szCs w:val="24"/>
        </w:rPr>
        <w:t>分。</w:t>
      </w:r>
    </w:p>
    <w:p>
      <w:pPr>
        <w:rPr>
          <w:rFonts w:hint="eastAsia" w:ascii="仿宋" w:hAnsi="仿宋" w:eastAsia="仿宋" w:cs="仿宋"/>
          <w:sz w:val="24"/>
          <w:szCs w:val="24"/>
        </w:rPr>
      </w:pPr>
      <w:r>
        <w:rPr>
          <w:rFonts w:hint="eastAsia" w:ascii="仿宋" w:hAnsi="仿宋" w:eastAsia="仿宋" w:cs="仿宋"/>
          <w:b/>
          <w:bCs/>
          <w:sz w:val="24"/>
          <w:szCs w:val="24"/>
        </w:rPr>
        <w:t>四、投标截止时间</w:t>
      </w:r>
      <w:r>
        <w:rPr>
          <w:rFonts w:hint="eastAsia" w:ascii="仿宋" w:hAnsi="仿宋" w:eastAsia="仿宋" w:cs="仿宋"/>
          <w:b/>
          <w:bCs/>
          <w:sz w:val="24"/>
          <w:szCs w:val="24"/>
          <w:lang w:val="en-US"/>
        </w:rPr>
        <w:t>(</w:t>
      </w:r>
      <w:r>
        <w:rPr>
          <w:rFonts w:hint="eastAsia" w:ascii="仿宋" w:hAnsi="仿宋" w:eastAsia="仿宋" w:cs="仿宋"/>
          <w:b/>
          <w:bCs/>
          <w:sz w:val="24"/>
          <w:szCs w:val="24"/>
        </w:rPr>
        <w:t>投标文件递交截止时间</w:t>
      </w:r>
      <w:r>
        <w:rPr>
          <w:rFonts w:hint="eastAsia" w:ascii="仿宋" w:hAnsi="仿宋" w:eastAsia="仿宋" w:cs="仿宋"/>
          <w:b/>
          <w:bCs/>
          <w:sz w:val="24"/>
          <w:szCs w:val="24"/>
          <w:lang w:val="en-US"/>
        </w:rPr>
        <w:t>)</w:t>
      </w:r>
      <w:r>
        <w:rPr>
          <w:rFonts w:hint="eastAsia" w:ascii="仿宋" w:hAnsi="仿宋" w:eastAsia="仿宋" w:cs="仿宋"/>
          <w:b/>
          <w:bCs/>
          <w:sz w:val="24"/>
          <w:szCs w:val="24"/>
        </w:rPr>
        <w:t>：</w:t>
      </w:r>
      <w:r>
        <w:rPr>
          <w:rFonts w:hint="eastAsia" w:ascii="仿宋" w:hAnsi="仿宋" w:eastAsia="仿宋" w:cs="仿宋"/>
          <w:b w:val="0"/>
          <w:bCs w:val="0"/>
          <w:sz w:val="24"/>
          <w:szCs w:val="24"/>
          <w:lang w:val="en-US"/>
        </w:rPr>
        <w:t>2020</w:t>
      </w:r>
      <w:r>
        <w:rPr>
          <w:rFonts w:hint="eastAsia" w:ascii="仿宋" w:hAnsi="仿宋" w:eastAsia="仿宋" w:cs="仿宋"/>
          <w:b w:val="0"/>
          <w:bCs w:val="0"/>
          <w:sz w:val="24"/>
          <w:szCs w:val="24"/>
        </w:rPr>
        <w:t>年</w:t>
      </w:r>
      <w:r>
        <w:rPr>
          <w:rFonts w:hint="eastAsia" w:ascii="仿宋" w:hAnsi="仿宋" w:eastAsia="仿宋" w:cs="仿宋"/>
          <w:b w:val="0"/>
          <w:bCs w:val="0"/>
          <w:sz w:val="24"/>
          <w:szCs w:val="24"/>
          <w:lang w:val="en-US"/>
        </w:rPr>
        <w:t>05</w:t>
      </w:r>
      <w:r>
        <w:rPr>
          <w:rFonts w:hint="eastAsia" w:ascii="仿宋" w:hAnsi="仿宋" w:eastAsia="仿宋" w:cs="仿宋"/>
          <w:b w:val="0"/>
          <w:bCs w:val="0"/>
          <w:sz w:val="24"/>
          <w:szCs w:val="24"/>
        </w:rPr>
        <w:t>月</w:t>
      </w:r>
      <w:r>
        <w:rPr>
          <w:rFonts w:hint="eastAsia" w:ascii="仿宋" w:hAnsi="仿宋" w:eastAsia="仿宋" w:cs="仿宋"/>
          <w:b w:val="0"/>
          <w:bCs w:val="0"/>
          <w:sz w:val="24"/>
          <w:szCs w:val="24"/>
          <w:lang w:val="en-US"/>
        </w:rPr>
        <w:t>13</w:t>
      </w:r>
      <w:r>
        <w:rPr>
          <w:rFonts w:hint="eastAsia" w:ascii="仿宋" w:hAnsi="仿宋" w:eastAsia="仿宋" w:cs="仿宋"/>
          <w:b w:val="0"/>
          <w:bCs w:val="0"/>
          <w:sz w:val="24"/>
          <w:szCs w:val="24"/>
        </w:rPr>
        <w:t>日</w:t>
      </w:r>
      <w:r>
        <w:rPr>
          <w:rFonts w:hint="eastAsia" w:ascii="仿宋" w:hAnsi="仿宋" w:eastAsia="仿宋" w:cs="仿宋"/>
          <w:b w:val="0"/>
          <w:bCs w:val="0"/>
          <w:sz w:val="24"/>
          <w:szCs w:val="24"/>
          <w:lang w:val="en-US"/>
        </w:rPr>
        <w:t>09</w:t>
      </w:r>
      <w:r>
        <w:rPr>
          <w:rFonts w:hint="eastAsia" w:ascii="仿宋" w:hAnsi="仿宋" w:eastAsia="仿宋" w:cs="仿宋"/>
          <w:b w:val="0"/>
          <w:bCs w:val="0"/>
          <w:sz w:val="24"/>
          <w:szCs w:val="24"/>
        </w:rPr>
        <w:t>时</w:t>
      </w:r>
      <w:r>
        <w:rPr>
          <w:rFonts w:hint="eastAsia" w:ascii="仿宋" w:hAnsi="仿宋" w:eastAsia="仿宋" w:cs="仿宋"/>
          <w:b w:val="0"/>
          <w:bCs w:val="0"/>
          <w:sz w:val="24"/>
          <w:szCs w:val="24"/>
          <w:lang w:val="en-US"/>
        </w:rPr>
        <w:t>00</w:t>
      </w:r>
      <w:r>
        <w:rPr>
          <w:rFonts w:hint="eastAsia" w:ascii="仿宋" w:hAnsi="仿宋" w:eastAsia="仿宋" w:cs="仿宋"/>
          <w:b w:val="0"/>
          <w:bCs w:val="0"/>
          <w:sz w:val="24"/>
          <w:szCs w:val="24"/>
        </w:rPr>
        <w:t>分</w:t>
      </w:r>
      <w:r>
        <w:rPr>
          <w:rFonts w:hint="eastAsia" w:ascii="仿宋" w:hAnsi="仿宋" w:eastAsia="仿宋" w:cs="仿宋"/>
          <w:sz w:val="24"/>
          <w:szCs w:val="24"/>
        </w:rPr>
        <w:t>。</w:t>
      </w:r>
      <w:r>
        <w:rPr>
          <w:rFonts w:hint="eastAsia" w:ascii="仿宋" w:hAnsi="仿宋" w:eastAsia="仿宋" w:cs="仿宋"/>
          <w:sz w:val="24"/>
          <w:szCs w:val="24"/>
          <w:lang w:val="en-US"/>
        </w:rPr>
        <w:t xml:space="preserve"> </w:t>
      </w:r>
    </w:p>
    <w:p>
      <w:pPr>
        <w:rPr>
          <w:rFonts w:hint="eastAsia" w:ascii="仿宋" w:hAnsi="仿宋" w:eastAsia="仿宋" w:cs="仿宋"/>
          <w:sz w:val="24"/>
          <w:szCs w:val="24"/>
        </w:rPr>
      </w:pPr>
      <w:r>
        <w:rPr>
          <w:rFonts w:hint="eastAsia" w:ascii="仿宋" w:hAnsi="仿宋" w:eastAsia="仿宋" w:cs="仿宋"/>
          <w:b/>
          <w:bCs/>
          <w:sz w:val="24"/>
          <w:szCs w:val="24"/>
        </w:rPr>
        <w:t>五、变更</w:t>
      </w:r>
      <w:r>
        <w:rPr>
          <w:rFonts w:hint="eastAsia" w:ascii="仿宋" w:hAnsi="仿宋" w:eastAsia="仿宋" w:cs="仿宋"/>
          <w:b/>
          <w:bCs/>
          <w:sz w:val="24"/>
          <w:szCs w:val="24"/>
          <w:lang w:eastAsia="zh-CN"/>
        </w:rPr>
        <w:t>（补充）</w:t>
      </w:r>
      <w:r>
        <w:rPr>
          <w:rFonts w:hint="eastAsia" w:ascii="仿宋" w:hAnsi="仿宋" w:eastAsia="仿宋" w:cs="仿宋"/>
          <w:b/>
          <w:bCs/>
          <w:sz w:val="24"/>
          <w:szCs w:val="24"/>
        </w:rPr>
        <w:t>内容：</w:t>
      </w:r>
    </w:p>
    <w:p>
      <w:pPr>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根据《平顶山市公共资源交易中心关于恢复重大紧急项目交易服务的公告》“自2020年2月28日起，全面实行在线“不见面”开标，投标人远程在线解密投标文件，不再到开标现场”的规定</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原招标文件中涉及到招标文件电子版、</w:t>
      </w:r>
      <w:r>
        <w:rPr>
          <w:rFonts w:hint="eastAsia" w:ascii="仿宋" w:hAnsi="仿宋" w:eastAsia="仿宋" w:cs="仿宋"/>
          <w:sz w:val="24"/>
          <w:szCs w:val="24"/>
          <w:lang w:eastAsia="zh-CN"/>
        </w:rPr>
        <w:t>纸质投标文件</w:t>
      </w:r>
      <w:r>
        <w:rPr>
          <w:rFonts w:hint="eastAsia" w:ascii="仿宋" w:hAnsi="仿宋" w:eastAsia="仿宋" w:cs="仿宋"/>
          <w:sz w:val="24"/>
          <w:szCs w:val="24"/>
          <w:lang w:val="en-US" w:eastAsia="zh-CN"/>
        </w:rPr>
        <w:t>等以及与之相对应的招标文件电子版（U盘）、</w:t>
      </w:r>
      <w:r>
        <w:rPr>
          <w:rFonts w:hint="eastAsia" w:ascii="仿宋" w:hAnsi="仿宋" w:eastAsia="仿宋" w:cs="仿宋"/>
          <w:sz w:val="24"/>
          <w:szCs w:val="24"/>
          <w:lang w:eastAsia="zh-CN"/>
        </w:rPr>
        <w:t>纸质投标文件</w:t>
      </w:r>
      <w:r>
        <w:rPr>
          <w:rFonts w:hint="eastAsia" w:ascii="仿宋" w:hAnsi="仿宋" w:eastAsia="仿宋" w:cs="仿宋"/>
          <w:sz w:val="24"/>
          <w:szCs w:val="24"/>
          <w:lang w:val="en-US" w:eastAsia="zh-CN"/>
        </w:rPr>
        <w:t>密封等内容需要投标人现场完成的规定均不再要求。</w:t>
      </w:r>
    </w:p>
    <w:p>
      <w:pPr>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2、因疫情原因，为最大限度减少人员聚集，本项目采用网上开标、远程解密</w:t>
      </w:r>
      <w:r>
        <w:rPr>
          <w:rFonts w:hint="eastAsia" w:ascii="仿宋" w:hAnsi="仿宋" w:eastAsia="仿宋" w:cs="仿宋"/>
          <w:sz w:val="24"/>
          <w:szCs w:val="24"/>
          <w:lang w:eastAsia="zh-CN"/>
        </w:rPr>
        <w:t>，投标企业不需到开评标现场；等开标时间截止后，各投标企业自行在</w:t>
      </w:r>
      <w:r>
        <w:rPr>
          <w:rFonts w:hint="eastAsia" w:ascii="仿宋" w:hAnsi="仿宋" w:eastAsia="仿宋" w:cs="仿宋"/>
          <w:sz w:val="24"/>
          <w:szCs w:val="24"/>
          <w:lang w:val="en-US" w:eastAsia="zh-CN"/>
        </w:rPr>
        <w:t>40</w:t>
      </w:r>
      <w:r>
        <w:rPr>
          <w:rFonts w:hint="eastAsia" w:ascii="仿宋" w:hAnsi="仿宋" w:eastAsia="仿宋" w:cs="仿宋"/>
          <w:sz w:val="24"/>
          <w:szCs w:val="24"/>
          <w:lang w:eastAsia="zh-CN"/>
        </w:rPr>
        <w:t>分钟内远程解密投标文件，超过时限的按无效标处理；在评标期间，各投标单位必须安排专人值守，确保在线，随时接受评标委员会在线问询，若未在评标委员会发起质疑</w:t>
      </w:r>
      <w:r>
        <w:rPr>
          <w:rFonts w:hint="eastAsia" w:ascii="仿宋" w:hAnsi="仿宋" w:eastAsia="仿宋" w:cs="仿宋"/>
          <w:sz w:val="24"/>
          <w:szCs w:val="24"/>
          <w:lang w:val="en-US" w:eastAsia="zh-CN"/>
        </w:rPr>
        <w:t>30</w:t>
      </w:r>
      <w:r>
        <w:rPr>
          <w:rFonts w:hint="eastAsia" w:ascii="仿宋" w:hAnsi="仿宋" w:eastAsia="仿宋" w:cs="仿宋"/>
          <w:sz w:val="24"/>
          <w:szCs w:val="24"/>
          <w:lang w:eastAsia="zh-CN"/>
        </w:rPr>
        <w:t>分钟内进行答疑的，视为放弃答疑机会。</w:t>
      </w:r>
      <w:r>
        <w:rPr>
          <w:rFonts w:hint="eastAsia" w:ascii="仿宋" w:hAnsi="仿宋" w:eastAsia="仿宋" w:cs="仿宋"/>
          <w:sz w:val="24"/>
          <w:szCs w:val="24"/>
          <w:lang w:val="en-US" w:eastAsia="zh-CN"/>
        </w:rPr>
        <w:t>详细要求及注意事项请各供应商详细阅读平顶山公共资源交易中心网站“平顶山市公共资源交易中心关于恢复重大紧急项目交易服务的公告”，因各供应商未仔细阅读造成的损失，各供应商自行承担。</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3、原招标文件第二章投标人须知前附表10.13设计成果补偿1、2、3、4的内容：</w:t>
      </w:r>
    </w:p>
    <w:p>
      <w:pPr>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现变更为：本项目对未中标单位无设计成果补偿费，招标人拥有所有投标单位设计方案的使用权，投标人应标即视为同意此条款。</w:t>
      </w:r>
    </w:p>
    <w:p>
      <w:pPr>
        <w:numPr>
          <w:ilvl w:val="0"/>
          <w:numId w:val="0"/>
        </w:num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4、原招标文件第三章评分办法第2.2.4（2）的内容</w:t>
      </w:r>
    </w:p>
    <w:p>
      <w:pPr>
        <w:numPr>
          <w:ilvl w:val="0"/>
          <w:numId w:val="0"/>
        </w:num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现变更为：</w:t>
      </w:r>
    </w:p>
    <w:tbl>
      <w:tblPr>
        <w:tblStyle w:val="7"/>
        <w:tblW w:w="986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075"/>
        <w:gridCol w:w="1613"/>
        <w:gridCol w:w="59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1218" w:type="dxa"/>
            <w:vMerge w:val="restart"/>
            <w:vAlign w:val="center"/>
          </w:tcPr>
          <w:p>
            <w:pPr>
              <w:jc w:val="center"/>
              <w:rPr>
                <w:rFonts w:hint="eastAsia" w:ascii="仿宋" w:hAnsi="仿宋" w:eastAsia="仿宋" w:cs="仿宋"/>
                <w:sz w:val="21"/>
                <w:szCs w:val="21"/>
              </w:rPr>
            </w:pPr>
            <w:r>
              <w:rPr>
                <w:rFonts w:hint="eastAsia" w:ascii="仿宋" w:hAnsi="仿宋" w:eastAsia="仿宋" w:cs="仿宋"/>
                <w:sz w:val="21"/>
                <w:szCs w:val="21"/>
              </w:rPr>
              <w:t>2.2.4（2）</w:t>
            </w:r>
          </w:p>
        </w:tc>
        <w:tc>
          <w:tcPr>
            <w:tcW w:w="1075" w:type="dxa"/>
            <w:vMerge w:val="restart"/>
            <w:vAlign w:val="center"/>
          </w:tcPr>
          <w:p>
            <w:pPr>
              <w:jc w:val="center"/>
              <w:rPr>
                <w:rFonts w:hint="eastAsia" w:ascii="仿宋" w:hAnsi="仿宋" w:eastAsia="仿宋" w:cs="仿宋"/>
                <w:sz w:val="21"/>
                <w:szCs w:val="21"/>
              </w:rPr>
            </w:pPr>
            <w:r>
              <w:rPr>
                <w:rFonts w:hint="eastAsia" w:ascii="仿宋" w:hAnsi="仿宋" w:eastAsia="仿宋" w:cs="仿宋"/>
                <w:sz w:val="21"/>
                <w:szCs w:val="21"/>
              </w:rPr>
              <w:t>综合部分</w:t>
            </w:r>
          </w:p>
          <w:p>
            <w:pPr>
              <w:jc w:val="center"/>
              <w:rPr>
                <w:rFonts w:hint="eastAsia" w:ascii="仿宋" w:hAnsi="仿宋" w:eastAsia="仿宋" w:cs="仿宋"/>
                <w:sz w:val="21"/>
                <w:szCs w:val="21"/>
              </w:rPr>
            </w:pPr>
            <w:r>
              <w:rPr>
                <w:rFonts w:hint="eastAsia" w:ascii="仿宋" w:hAnsi="仿宋" w:eastAsia="仿宋" w:cs="仿宋"/>
                <w:sz w:val="21"/>
                <w:szCs w:val="21"/>
              </w:rPr>
              <w:t>评分标准</w:t>
            </w:r>
          </w:p>
          <w:p>
            <w:pPr>
              <w:jc w:val="center"/>
              <w:rPr>
                <w:rFonts w:hint="eastAsia" w:ascii="仿宋" w:hAnsi="仿宋" w:eastAsia="仿宋" w:cs="仿宋"/>
                <w:sz w:val="21"/>
                <w:szCs w:val="21"/>
              </w:rPr>
            </w:pPr>
            <w:r>
              <w:rPr>
                <w:rFonts w:hint="eastAsia" w:ascii="仿宋" w:hAnsi="仿宋" w:eastAsia="仿宋" w:cs="仿宋"/>
                <w:sz w:val="21"/>
                <w:szCs w:val="21"/>
              </w:rPr>
              <w:t>（15分）</w:t>
            </w:r>
          </w:p>
        </w:tc>
        <w:tc>
          <w:tcPr>
            <w:tcW w:w="1613"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业绩（0-4分）</w:t>
            </w:r>
          </w:p>
        </w:tc>
        <w:tc>
          <w:tcPr>
            <w:tcW w:w="5955" w:type="dxa"/>
            <w:vAlign w:val="center"/>
          </w:tcPr>
          <w:p>
            <w:pPr>
              <w:rPr>
                <w:rFonts w:hint="eastAsia" w:ascii="仿宋" w:hAnsi="仿宋" w:eastAsia="仿宋" w:cs="仿宋"/>
                <w:sz w:val="21"/>
                <w:szCs w:val="21"/>
              </w:rPr>
            </w:pPr>
            <w:r>
              <w:rPr>
                <w:rFonts w:hint="eastAsia" w:ascii="仿宋" w:hAnsi="仿宋" w:eastAsia="仿宋" w:cs="仿宋"/>
                <w:sz w:val="21"/>
                <w:szCs w:val="21"/>
              </w:rPr>
              <w:t>除资格审查项外，企业每再提供1项2017年1月1日以来建筑面积7万及以上公建类设计项目业绩合同得2分，最多得4分（以合同签订时间为准）。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1218" w:type="dxa"/>
            <w:vMerge w:val="continue"/>
            <w:vAlign w:val="center"/>
          </w:tcPr>
          <w:p>
            <w:pPr>
              <w:jc w:val="center"/>
              <w:rPr>
                <w:rFonts w:hint="eastAsia" w:ascii="仿宋" w:hAnsi="仿宋" w:eastAsia="仿宋" w:cs="仿宋"/>
                <w:sz w:val="21"/>
                <w:szCs w:val="21"/>
              </w:rPr>
            </w:pPr>
          </w:p>
        </w:tc>
        <w:tc>
          <w:tcPr>
            <w:tcW w:w="1075" w:type="dxa"/>
            <w:vMerge w:val="continue"/>
            <w:vAlign w:val="center"/>
          </w:tcPr>
          <w:p>
            <w:pPr>
              <w:jc w:val="center"/>
              <w:rPr>
                <w:rFonts w:hint="eastAsia" w:ascii="仿宋" w:hAnsi="仿宋" w:eastAsia="仿宋" w:cs="仿宋"/>
                <w:sz w:val="21"/>
                <w:szCs w:val="21"/>
              </w:rPr>
            </w:pPr>
          </w:p>
        </w:tc>
        <w:tc>
          <w:tcPr>
            <w:tcW w:w="1613"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人员配备方案</w:t>
            </w:r>
          </w:p>
          <w:p>
            <w:pPr>
              <w:jc w:val="center"/>
              <w:rPr>
                <w:rFonts w:hint="eastAsia" w:ascii="仿宋" w:hAnsi="仿宋" w:eastAsia="仿宋" w:cs="仿宋"/>
                <w:sz w:val="21"/>
                <w:szCs w:val="21"/>
              </w:rPr>
            </w:pPr>
            <w:r>
              <w:rPr>
                <w:rFonts w:hint="eastAsia" w:ascii="仿宋" w:hAnsi="仿宋" w:eastAsia="仿宋" w:cs="仿宋"/>
                <w:sz w:val="21"/>
                <w:szCs w:val="21"/>
              </w:rPr>
              <w:t>（0-4分）</w:t>
            </w:r>
          </w:p>
        </w:tc>
        <w:tc>
          <w:tcPr>
            <w:tcW w:w="5955" w:type="dxa"/>
            <w:vAlign w:val="center"/>
          </w:tcPr>
          <w:p>
            <w:pPr>
              <w:rPr>
                <w:rFonts w:hint="eastAsia" w:ascii="仿宋" w:hAnsi="仿宋" w:eastAsia="仿宋" w:cs="仿宋"/>
                <w:sz w:val="21"/>
                <w:szCs w:val="21"/>
              </w:rPr>
            </w:pPr>
            <w:r>
              <w:rPr>
                <w:rFonts w:hint="eastAsia" w:ascii="仿宋" w:hAnsi="仿宋" w:eastAsia="仿宋" w:cs="仿宋"/>
                <w:sz w:val="21"/>
                <w:szCs w:val="21"/>
              </w:rPr>
              <w:t>项目组人员配置齐全，除项目负责人外，建筑、结构、给排水、电气、暖通负责人具有高级职称及注册执业证书，每有一个加1分，缺一专业或职称不满足要求的不得分,最多4分。（提供2019年度任意六个月公司为其缴纳的社保证明，没有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1218" w:type="dxa"/>
            <w:vMerge w:val="continue"/>
            <w:vAlign w:val="center"/>
          </w:tcPr>
          <w:p>
            <w:pPr>
              <w:jc w:val="center"/>
              <w:rPr>
                <w:rFonts w:hint="eastAsia" w:ascii="仿宋" w:hAnsi="仿宋" w:eastAsia="仿宋" w:cs="仿宋"/>
                <w:sz w:val="21"/>
                <w:szCs w:val="21"/>
              </w:rPr>
            </w:pPr>
          </w:p>
        </w:tc>
        <w:tc>
          <w:tcPr>
            <w:tcW w:w="1075" w:type="dxa"/>
            <w:vMerge w:val="continue"/>
            <w:vAlign w:val="center"/>
          </w:tcPr>
          <w:p>
            <w:pPr>
              <w:jc w:val="center"/>
              <w:rPr>
                <w:rFonts w:hint="eastAsia" w:ascii="仿宋" w:hAnsi="仿宋" w:eastAsia="仿宋" w:cs="仿宋"/>
                <w:sz w:val="21"/>
                <w:szCs w:val="21"/>
              </w:rPr>
            </w:pPr>
          </w:p>
        </w:tc>
        <w:tc>
          <w:tcPr>
            <w:tcW w:w="1613"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企业体系认证</w:t>
            </w:r>
          </w:p>
          <w:p>
            <w:pPr>
              <w:jc w:val="center"/>
              <w:rPr>
                <w:rFonts w:hint="eastAsia" w:ascii="仿宋" w:hAnsi="仿宋" w:eastAsia="仿宋" w:cs="仿宋"/>
                <w:sz w:val="21"/>
                <w:szCs w:val="21"/>
              </w:rPr>
            </w:pPr>
            <w:r>
              <w:rPr>
                <w:rFonts w:hint="eastAsia" w:ascii="仿宋" w:hAnsi="仿宋" w:eastAsia="仿宋" w:cs="仿宋"/>
                <w:sz w:val="21"/>
                <w:szCs w:val="21"/>
              </w:rPr>
              <w:t>（0-3分）</w:t>
            </w:r>
          </w:p>
        </w:tc>
        <w:tc>
          <w:tcPr>
            <w:tcW w:w="5955" w:type="dxa"/>
            <w:vAlign w:val="center"/>
          </w:tcPr>
          <w:p>
            <w:pPr>
              <w:rPr>
                <w:rFonts w:hint="eastAsia" w:ascii="仿宋" w:hAnsi="仿宋" w:eastAsia="仿宋" w:cs="仿宋"/>
                <w:sz w:val="21"/>
                <w:szCs w:val="21"/>
              </w:rPr>
            </w:pPr>
            <w:r>
              <w:rPr>
                <w:rFonts w:hint="eastAsia" w:ascii="仿宋" w:hAnsi="仿宋" w:eastAsia="仿宋" w:cs="仿宋"/>
                <w:sz w:val="21"/>
                <w:szCs w:val="21"/>
              </w:rPr>
              <w:t>投标人通过ISO9001系列质量体系认证、环境管理体系认证、职业健康安全管理体系认证的得3分，缺少任意一项则此项不得分。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218" w:type="dxa"/>
            <w:vMerge w:val="continue"/>
            <w:vAlign w:val="center"/>
          </w:tcPr>
          <w:p>
            <w:pPr>
              <w:jc w:val="center"/>
              <w:rPr>
                <w:rFonts w:hint="eastAsia" w:ascii="仿宋" w:hAnsi="仿宋" w:eastAsia="仿宋" w:cs="仿宋"/>
                <w:sz w:val="21"/>
                <w:szCs w:val="21"/>
              </w:rPr>
            </w:pPr>
          </w:p>
        </w:tc>
        <w:tc>
          <w:tcPr>
            <w:tcW w:w="1075" w:type="dxa"/>
            <w:vMerge w:val="continue"/>
            <w:vAlign w:val="center"/>
          </w:tcPr>
          <w:p>
            <w:pPr>
              <w:jc w:val="center"/>
              <w:rPr>
                <w:rFonts w:hint="eastAsia" w:ascii="仿宋" w:hAnsi="仿宋" w:eastAsia="仿宋" w:cs="仿宋"/>
                <w:sz w:val="21"/>
                <w:szCs w:val="21"/>
              </w:rPr>
            </w:pPr>
          </w:p>
        </w:tc>
        <w:tc>
          <w:tcPr>
            <w:tcW w:w="1613"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服务措施</w:t>
            </w:r>
          </w:p>
          <w:p>
            <w:pPr>
              <w:jc w:val="center"/>
              <w:rPr>
                <w:rFonts w:hint="eastAsia" w:ascii="仿宋" w:hAnsi="仿宋" w:eastAsia="仿宋" w:cs="仿宋"/>
                <w:sz w:val="21"/>
                <w:szCs w:val="21"/>
              </w:rPr>
            </w:pPr>
            <w:r>
              <w:rPr>
                <w:rFonts w:hint="eastAsia" w:ascii="仿宋" w:hAnsi="仿宋" w:eastAsia="仿宋" w:cs="仿宋"/>
                <w:sz w:val="21"/>
                <w:szCs w:val="21"/>
              </w:rPr>
              <w:t>（0-4分）</w:t>
            </w:r>
          </w:p>
        </w:tc>
        <w:tc>
          <w:tcPr>
            <w:tcW w:w="5955" w:type="dxa"/>
            <w:vAlign w:val="center"/>
          </w:tcPr>
          <w:p>
            <w:pPr>
              <w:rPr>
                <w:rFonts w:hint="eastAsia" w:ascii="仿宋" w:hAnsi="仿宋" w:eastAsia="仿宋" w:cs="仿宋"/>
                <w:sz w:val="21"/>
                <w:szCs w:val="21"/>
              </w:rPr>
            </w:pPr>
            <w:r>
              <w:rPr>
                <w:rFonts w:hint="eastAsia" w:ascii="仿宋" w:hAnsi="仿宋" w:eastAsia="仿宋" w:cs="仿宋"/>
                <w:sz w:val="21"/>
                <w:szCs w:val="21"/>
              </w:rPr>
              <w:t>突出优质服务保证设计质量，24小时响应情况，现场驻地服务，配合工程实施，服务措施得当有力。评标委员会对各投标人设计方案进行比较后，在优秀、良好、差之间酌情打分，具体分值范围为：优秀（4分）；良好（2分）差（0分）。</w:t>
            </w:r>
          </w:p>
        </w:tc>
      </w:tr>
    </w:tbl>
    <w:p>
      <w:pPr>
        <w:numPr>
          <w:ilvl w:val="0"/>
          <w:numId w:val="0"/>
        </w:numPr>
        <w:ind w:firstLine="480" w:firstLineChars="200"/>
        <w:rPr>
          <w:rFonts w:hint="default" w:ascii="仿宋" w:hAnsi="仿宋" w:eastAsia="仿宋" w:cs="仿宋"/>
          <w:sz w:val="24"/>
          <w:szCs w:val="24"/>
          <w:lang w:val="en-US" w:eastAsia="zh-CN"/>
        </w:rPr>
      </w:pPr>
    </w:p>
    <w:p>
      <w:pPr>
        <w:rPr>
          <w:rFonts w:hint="eastAsia" w:ascii="仿宋" w:hAnsi="仿宋" w:eastAsia="仿宋" w:cs="仿宋"/>
          <w:sz w:val="24"/>
          <w:szCs w:val="24"/>
        </w:rPr>
      </w:pPr>
    </w:p>
    <w:p>
      <w:pPr>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5、原招标文件规定投标保证金提交的截止时间：2020年04月16日09时00时前（北京时间）；现变更为：投标保证金提交的截止时间：2020年05月13日09时00时前（北京时间）。</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bookmarkStart w:id="0" w:name="_Toc35947347"/>
      <w:r>
        <w:rPr>
          <w:rFonts w:hint="eastAsia" w:ascii="仿宋" w:hAnsi="仿宋" w:eastAsia="仿宋" w:cs="仿宋"/>
          <w:sz w:val="24"/>
          <w:szCs w:val="24"/>
          <w:lang w:val="en-US" w:eastAsia="zh-CN"/>
        </w:rPr>
        <w:t>请各投标人依照招标文件第五章设计任务及要求</w:t>
      </w:r>
      <w:bookmarkEnd w:id="0"/>
      <w:r>
        <w:rPr>
          <w:rFonts w:hint="eastAsia" w:ascii="仿宋" w:hAnsi="仿宋" w:eastAsia="仿宋" w:cs="仿宋"/>
          <w:sz w:val="24"/>
          <w:szCs w:val="24"/>
          <w:lang w:val="en-US" w:eastAsia="zh-CN"/>
        </w:rPr>
        <w:t>、相关国家行业标准等规定对该项目招标范围内的设计进行投标。</w:t>
      </w:r>
    </w:p>
    <w:p>
      <w:pPr>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7、该项目宗地图及该地块1：1000地形图详见附件。</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其他内容不变</w:t>
      </w:r>
      <w:r>
        <w:rPr>
          <w:rFonts w:hint="eastAsia" w:ascii="仿宋" w:hAnsi="仿宋" w:eastAsia="仿宋" w:cs="仿宋"/>
          <w:sz w:val="24"/>
          <w:szCs w:val="24"/>
          <w:lang w:eastAsia="zh-CN"/>
        </w:rPr>
        <w:t>，特此补充</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b/>
          <w:bCs/>
          <w:sz w:val="24"/>
          <w:szCs w:val="24"/>
        </w:rPr>
        <w:t>六、联系方式</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招 标 人：平顶山市公安局</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地</w:t>
      </w:r>
      <w:r>
        <w:rPr>
          <w:rFonts w:hint="eastAsia" w:ascii="仿宋" w:hAnsi="仿宋" w:eastAsia="仿宋" w:cs="仿宋"/>
          <w:sz w:val="24"/>
          <w:szCs w:val="24"/>
          <w:lang w:val="en-US"/>
        </w:rPr>
        <w:t xml:space="preserve">    </w:t>
      </w:r>
      <w:r>
        <w:rPr>
          <w:rFonts w:hint="eastAsia" w:ascii="仿宋" w:hAnsi="仿宋" w:eastAsia="仿宋" w:cs="仿宋"/>
          <w:sz w:val="24"/>
          <w:szCs w:val="24"/>
        </w:rPr>
        <w:t>址：平顶山市新华区建设路西段</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联 系 人：杨先生</w:t>
      </w:r>
    </w:p>
    <w:p>
      <w:pPr>
        <w:ind w:firstLine="480" w:firstLineChars="200"/>
        <w:rPr>
          <w:rFonts w:hint="eastAsia" w:ascii="仿宋" w:hAnsi="仿宋" w:eastAsia="仿宋" w:cs="仿宋"/>
          <w:sz w:val="24"/>
          <w:szCs w:val="24"/>
          <w:lang w:val="en-US"/>
        </w:rPr>
      </w:pPr>
      <w:r>
        <w:rPr>
          <w:rFonts w:hint="eastAsia" w:ascii="仿宋" w:hAnsi="仿宋" w:eastAsia="仿宋" w:cs="仿宋"/>
          <w:sz w:val="24"/>
          <w:szCs w:val="24"/>
        </w:rPr>
        <w:t>联系方式：</w:t>
      </w:r>
      <w:r>
        <w:rPr>
          <w:rFonts w:hint="eastAsia" w:ascii="仿宋" w:hAnsi="仿宋" w:eastAsia="仿宋" w:cs="仿宋"/>
          <w:sz w:val="24"/>
          <w:szCs w:val="24"/>
          <w:lang w:val="en-US"/>
        </w:rPr>
        <w:t>0375-3229005</w:t>
      </w:r>
    </w:p>
    <w:p>
      <w:pPr>
        <w:ind w:firstLine="480" w:firstLineChars="200"/>
        <w:rPr>
          <w:rFonts w:hint="eastAsia" w:ascii="仿宋" w:hAnsi="仿宋" w:eastAsia="仿宋" w:cs="仿宋"/>
          <w:sz w:val="24"/>
          <w:szCs w:val="24"/>
          <w:lang w:val="en-US"/>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招标代理机构：河南豫信招标有限责任公司</w:t>
      </w:r>
      <w:r>
        <w:rPr>
          <w:rFonts w:hint="eastAsia" w:ascii="仿宋" w:hAnsi="仿宋" w:eastAsia="仿宋" w:cs="仿宋"/>
          <w:sz w:val="24"/>
          <w:szCs w:val="24"/>
          <w:lang w:val="en-US"/>
        </w:rPr>
        <w:t xml:space="preserve">  </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地</w:t>
      </w:r>
      <w:r>
        <w:rPr>
          <w:rFonts w:hint="eastAsia" w:ascii="仿宋" w:hAnsi="仿宋" w:eastAsia="仿宋" w:cs="仿宋"/>
          <w:sz w:val="24"/>
          <w:szCs w:val="24"/>
          <w:lang w:val="en-US"/>
        </w:rPr>
        <w:t xml:space="preserve">    </w:t>
      </w:r>
      <w:r>
        <w:rPr>
          <w:rFonts w:hint="eastAsia" w:ascii="仿宋" w:hAnsi="仿宋" w:eastAsia="仿宋" w:cs="仿宋"/>
          <w:sz w:val="24"/>
          <w:szCs w:val="24"/>
        </w:rPr>
        <w:t>址：郑州市郑东新区商务外环</w:t>
      </w:r>
      <w:r>
        <w:rPr>
          <w:rFonts w:hint="eastAsia" w:ascii="仿宋" w:hAnsi="仿宋" w:eastAsia="仿宋" w:cs="仿宋"/>
          <w:sz w:val="24"/>
          <w:szCs w:val="24"/>
          <w:lang w:val="en-US"/>
        </w:rPr>
        <w:t>3</w:t>
      </w:r>
      <w:r>
        <w:rPr>
          <w:rFonts w:hint="eastAsia" w:ascii="仿宋" w:hAnsi="仿宋" w:eastAsia="仿宋" w:cs="仿宋"/>
          <w:sz w:val="24"/>
          <w:szCs w:val="24"/>
        </w:rPr>
        <w:t>号中华大厦</w:t>
      </w:r>
      <w:r>
        <w:rPr>
          <w:rFonts w:hint="eastAsia" w:ascii="仿宋" w:hAnsi="仿宋" w:eastAsia="仿宋" w:cs="仿宋"/>
          <w:sz w:val="24"/>
          <w:szCs w:val="24"/>
          <w:lang w:val="en-US"/>
        </w:rPr>
        <w:t>19</w:t>
      </w:r>
      <w:r>
        <w:rPr>
          <w:rFonts w:hint="eastAsia" w:ascii="仿宋" w:hAnsi="仿宋" w:eastAsia="仿宋" w:cs="仿宋"/>
          <w:sz w:val="24"/>
          <w:szCs w:val="24"/>
        </w:rPr>
        <w:t>层</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联系人： 张女士、赵先生</w:t>
      </w:r>
      <w:r>
        <w:rPr>
          <w:rFonts w:hint="eastAsia" w:ascii="仿宋" w:hAnsi="仿宋" w:eastAsia="仿宋" w:cs="仿宋"/>
          <w:sz w:val="24"/>
          <w:szCs w:val="24"/>
          <w:lang w:val="en-US"/>
        </w:rPr>
        <w:t xml:space="preserve">  </w:t>
      </w:r>
    </w:p>
    <w:p>
      <w:pPr>
        <w:ind w:firstLine="480" w:firstLineChars="200"/>
        <w:rPr>
          <w:rFonts w:hint="eastAsia" w:ascii="仿宋" w:hAnsi="仿宋" w:eastAsia="仿宋" w:cs="仿宋"/>
          <w:sz w:val="24"/>
          <w:szCs w:val="24"/>
          <w:lang w:val="en-US"/>
        </w:rPr>
      </w:pPr>
      <w:r>
        <w:rPr>
          <w:rFonts w:hint="eastAsia" w:ascii="仿宋" w:hAnsi="仿宋" w:eastAsia="仿宋" w:cs="仿宋"/>
          <w:sz w:val="24"/>
          <w:szCs w:val="24"/>
        </w:rPr>
        <w:t>电 话：</w:t>
      </w:r>
      <w:r>
        <w:rPr>
          <w:rFonts w:hint="eastAsia" w:ascii="仿宋" w:hAnsi="仿宋" w:eastAsia="仿宋" w:cs="仿宋"/>
          <w:sz w:val="24"/>
          <w:szCs w:val="24"/>
          <w:lang w:val="en-US"/>
        </w:rPr>
        <w:t>  0371-61312379</w:t>
      </w:r>
    </w:p>
    <w:p>
      <w:pPr>
        <w:ind w:firstLine="480" w:firstLineChars="200"/>
        <w:rPr>
          <w:rFonts w:hint="eastAsia" w:ascii="仿宋" w:hAnsi="仿宋" w:eastAsia="仿宋" w:cs="仿宋"/>
          <w:sz w:val="24"/>
          <w:szCs w:val="24"/>
        </w:rPr>
      </w:pPr>
      <w:r>
        <w:rPr>
          <w:rFonts w:hint="eastAsia" w:ascii="仿宋" w:hAnsi="仿宋" w:eastAsia="仿宋" w:cs="仿宋"/>
          <w:sz w:val="24"/>
          <w:szCs w:val="24"/>
          <w:lang w:val="en-US"/>
        </w:rPr>
        <w:t xml:space="preserve">                      </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监督部门：平顶山市建设工程招标管理办公室</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统一社会信用代码：</w:t>
      </w:r>
      <w:r>
        <w:rPr>
          <w:rFonts w:hint="eastAsia" w:ascii="仿宋" w:hAnsi="仿宋" w:eastAsia="仿宋" w:cs="仿宋"/>
          <w:sz w:val="24"/>
          <w:szCs w:val="24"/>
          <w:lang w:val="en-US"/>
        </w:rPr>
        <w:t>12410400F737105200</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联系人：王先生</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联系电话：</w:t>
      </w:r>
      <w:r>
        <w:rPr>
          <w:rFonts w:hint="eastAsia" w:ascii="仿宋" w:hAnsi="仿宋" w:eastAsia="仿宋" w:cs="仿宋"/>
          <w:sz w:val="24"/>
          <w:szCs w:val="24"/>
          <w:lang w:val="en-US"/>
        </w:rPr>
        <w:t>0375-2633905</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监督单位：平顶山市财政局政府采购管理办公室</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统一社会信用代码：</w:t>
      </w:r>
      <w:r>
        <w:rPr>
          <w:rFonts w:hint="eastAsia" w:ascii="仿宋" w:hAnsi="仿宋" w:eastAsia="仿宋" w:cs="仿宋"/>
          <w:sz w:val="24"/>
          <w:szCs w:val="24"/>
          <w:lang w:val="en-US"/>
        </w:rPr>
        <w:t>11410400005452110L</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联系人：闫先生</w:t>
      </w:r>
    </w:p>
    <w:p>
      <w:pPr>
        <w:ind w:firstLine="480" w:firstLineChars="200"/>
        <w:rPr>
          <w:rFonts w:hint="eastAsia" w:ascii="仿宋" w:hAnsi="仿宋" w:eastAsia="仿宋" w:cs="仿宋"/>
          <w:sz w:val="24"/>
          <w:szCs w:val="24"/>
          <w:lang w:val="en-US"/>
        </w:rPr>
      </w:pPr>
      <w:r>
        <w:rPr>
          <w:rFonts w:hint="eastAsia" w:ascii="仿宋" w:hAnsi="仿宋" w:eastAsia="仿宋" w:cs="仿宋"/>
          <w:sz w:val="24"/>
          <w:szCs w:val="24"/>
        </w:rPr>
        <w:t>电话：</w:t>
      </w:r>
      <w:r>
        <w:rPr>
          <w:rFonts w:hint="eastAsia" w:ascii="仿宋" w:hAnsi="仿宋" w:eastAsia="仿宋" w:cs="仿宋"/>
          <w:sz w:val="24"/>
          <w:szCs w:val="24"/>
          <w:lang w:val="en-US"/>
        </w:rPr>
        <w:t>0375-2627591</w:t>
      </w:r>
    </w:p>
    <w:p>
      <w:pPr>
        <w:ind w:firstLine="480" w:firstLineChars="200"/>
        <w:rPr>
          <w:rFonts w:hint="eastAsia" w:ascii="仿宋" w:hAnsi="仿宋" w:eastAsia="仿宋" w:cs="仿宋"/>
          <w:sz w:val="24"/>
          <w:szCs w:val="24"/>
          <w:lang w:val="en-US"/>
        </w:rPr>
      </w:pPr>
    </w:p>
    <w:p>
      <w:pPr>
        <w:rPr>
          <w:rFonts w:hint="eastAsia" w:ascii="仿宋" w:hAnsi="仿宋" w:eastAsia="仿宋" w:cs="仿宋"/>
          <w:sz w:val="24"/>
          <w:szCs w:val="24"/>
        </w:rPr>
      </w:pPr>
      <w:r>
        <w:rPr>
          <w:rFonts w:hint="eastAsia" w:ascii="仿宋" w:hAnsi="仿宋" w:eastAsia="仿宋" w:cs="仿宋"/>
          <w:sz w:val="24"/>
          <w:szCs w:val="24"/>
          <w:lang w:val="en-US"/>
        </w:rPr>
        <w:t> </w:t>
      </w:r>
    </w:p>
    <w:p>
      <w:pPr>
        <w:jc w:val="right"/>
        <w:rPr>
          <w:rFonts w:hint="eastAsia" w:ascii="仿宋" w:hAnsi="仿宋" w:eastAsia="仿宋" w:cs="仿宋"/>
          <w:sz w:val="24"/>
          <w:szCs w:val="24"/>
        </w:rPr>
      </w:pPr>
      <w:r>
        <w:rPr>
          <w:rFonts w:hint="eastAsia" w:ascii="仿宋" w:hAnsi="仿宋" w:eastAsia="仿宋" w:cs="仿宋"/>
          <w:sz w:val="24"/>
          <w:szCs w:val="24"/>
        </w:rPr>
        <w:t>河南豫信招标有限责任公司</w:t>
      </w:r>
    </w:p>
    <w:p>
      <w:pPr>
        <w:jc w:val="right"/>
        <w:rPr>
          <w:rFonts w:hint="eastAsia" w:ascii="仿宋" w:hAnsi="仿宋" w:eastAsia="仿宋" w:cs="仿宋"/>
          <w:color w:val="auto"/>
          <w:sz w:val="24"/>
          <w:szCs w:val="24"/>
        </w:rPr>
      </w:pPr>
      <w:bookmarkStart w:id="1" w:name="_GoBack"/>
      <w:r>
        <w:rPr>
          <w:rFonts w:hint="eastAsia" w:ascii="仿宋" w:hAnsi="仿宋" w:eastAsia="仿宋" w:cs="仿宋"/>
          <w:color w:val="auto"/>
          <w:sz w:val="24"/>
          <w:szCs w:val="24"/>
          <w:lang w:val="en-US"/>
        </w:rPr>
        <w:t>2020</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04</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03</w:t>
      </w:r>
      <w:r>
        <w:rPr>
          <w:rFonts w:hint="eastAsia" w:ascii="仿宋" w:hAnsi="仿宋" w:eastAsia="仿宋" w:cs="仿宋"/>
          <w:color w:val="auto"/>
          <w:sz w:val="24"/>
          <w:szCs w:val="24"/>
        </w:rPr>
        <w:t>日</w:t>
      </w:r>
    </w:p>
    <w:bookmarkEnd w:id="1"/>
    <w:p>
      <w:pPr>
        <w:rPr>
          <w:rFonts w:hint="eastAsia" w:ascii="仿宋" w:hAnsi="仿宋" w:eastAsia="仿宋" w:cs="仿宋"/>
          <w:sz w:val="24"/>
          <w:szCs w:val="2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F582F34"/>
    <w:rsid w:val="17A839D2"/>
    <w:rsid w:val="18713FDF"/>
    <w:rsid w:val="3FDF3271"/>
    <w:rsid w:val="429E54D1"/>
    <w:rsid w:val="65294060"/>
    <w:rsid w:val="6A9053C8"/>
    <w:rsid w:val="779B7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
    <w:qFormat/>
    <w:uiPriority w:val="0"/>
    <w:pPr>
      <w:keepNext/>
      <w:keepLines/>
      <w:spacing w:before="340" w:after="330" w:line="578" w:lineRule="auto"/>
      <w:jc w:val="center"/>
      <w:outlineLvl w:val="0"/>
    </w:pPr>
    <w:rPr>
      <w:rFonts w:ascii="Times New Roman" w:hAnsi="Times New Roman" w:eastAsia="仿宋" w:cs="Times New Roman"/>
      <w:b/>
      <w:bCs/>
      <w:kern w:val="44"/>
      <w:sz w:val="36"/>
      <w:szCs w:val="44"/>
    </w:rPr>
  </w:style>
  <w:style w:type="paragraph" w:styleId="3">
    <w:name w:val="heading 2"/>
    <w:basedOn w:val="1"/>
    <w:next w:val="1"/>
    <w:link w:val="13"/>
    <w:semiHidden/>
    <w:unhideWhenUsed/>
    <w:qFormat/>
    <w:uiPriority w:val="0"/>
    <w:pPr>
      <w:jc w:val="center"/>
      <w:outlineLvl w:val="1"/>
    </w:pPr>
    <w:rPr>
      <w:rFonts w:hint="eastAsia" w:ascii="宋体" w:hAnsi="宋体" w:eastAsia="仿宋" w:cs="Times New Roman"/>
      <w:kern w:val="0"/>
      <w:sz w:val="30"/>
      <w:szCs w:val="36"/>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semiHidden/>
    <w:unhideWhenUsed/>
    <w:qFormat/>
    <w:uiPriority w:val="99"/>
    <w:pPr>
      <w:spacing w:after="120"/>
    </w:p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6">
    <w:name w:val="Body Text First Indent"/>
    <w:basedOn w:val="4"/>
    <w:unhideWhenUsed/>
    <w:qFormat/>
    <w:uiPriority w:val="99"/>
    <w:pPr>
      <w:ind w:firstLine="420" w:firstLineChars="100"/>
    </w:pPr>
    <w:rPr>
      <w:rFonts w:ascii="Times New Roman" w:hAnsi="Times New Roman" w:eastAsiaTheme="minorEastAsia" w:cstheme="minorBidi"/>
      <w:kern w:val="2"/>
      <w:sz w:val="21"/>
      <w:szCs w:val="22"/>
    </w:rPr>
  </w:style>
  <w:style w:type="character" w:styleId="9">
    <w:name w:val="FollowedHyperlink"/>
    <w:basedOn w:val="8"/>
    <w:qFormat/>
    <w:uiPriority w:val="0"/>
    <w:rPr>
      <w:color w:val="000000"/>
      <w:u w:val="none"/>
    </w:rPr>
  </w:style>
  <w:style w:type="character" w:styleId="10">
    <w:name w:val="Emphasis"/>
    <w:basedOn w:val="8"/>
    <w:qFormat/>
    <w:uiPriority w:val="0"/>
  </w:style>
  <w:style w:type="character" w:styleId="11">
    <w:name w:val="Hyperlink"/>
    <w:basedOn w:val="8"/>
    <w:qFormat/>
    <w:uiPriority w:val="0"/>
    <w:rPr>
      <w:color w:val="000000"/>
      <w:u w:val="none"/>
    </w:rPr>
  </w:style>
  <w:style w:type="character" w:customStyle="1" w:styleId="12">
    <w:name w:val="标题 1 Char"/>
    <w:basedOn w:val="8"/>
    <w:link w:val="2"/>
    <w:qFormat/>
    <w:uiPriority w:val="0"/>
    <w:rPr>
      <w:rFonts w:ascii="Times New Roman" w:hAnsi="Times New Roman" w:eastAsia="仿宋" w:cs="Times New Roman"/>
      <w:b/>
      <w:bCs/>
      <w:kern w:val="32"/>
      <w:sz w:val="32"/>
      <w:szCs w:val="32"/>
      <w:lang w:eastAsia="en-US"/>
    </w:rPr>
  </w:style>
  <w:style w:type="character" w:customStyle="1" w:styleId="13">
    <w:name w:val="标题 2 字符"/>
    <w:basedOn w:val="8"/>
    <w:link w:val="3"/>
    <w:qFormat/>
    <w:uiPriority w:val="0"/>
    <w:rPr>
      <w:rFonts w:hint="eastAsia" w:ascii="宋体" w:hAnsi="宋体" w:eastAsia="仿宋" w:cs="Times New Roman"/>
      <w:kern w:val="0"/>
      <w:sz w:val="30"/>
      <w:szCs w:val="36"/>
    </w:rPr>
  </w:style>
  <w:style w:type="character" w:customStyle="1" w:styleId="14">
    <w:name w:val="hover"/>
    <w:basedOn w:val="8"/>
    <w:qFormat/>
    <w:uiPriority w:val="0"/>
  </w:style>
  <w:style w:type="character" w:customStyle="1" w:styleId="15">
    <w:name w:val="blue"/>
    <w:basedOn w:val="8"/>
    <w:qFormat/>
    <w:uiPriority w:val="0"/>
    <w:rPr>
      <w:color w:val="0371C6"/>
      <w:sz w:val="21"/>
      <w:szCs w:val="21"/>
    </w:rPr>
  </w:style>
  <w:style w:type="character" w:customStyle="1" w:styleId="16">
    <w:name w:val="right"/>
    <w:basedOn w:val="8"/>
    <w:qFormat/>
    <w:uiPriority w:val="0"/>
    <w:rPr>
      <w:color w:val="999999"/>
    </w:rPr>
  </w:style>
  <w:style w:type="character" w:customStyle="1" w:styleId="17">
    <w:name w:val="gb-jt"/>
    <w:basedOn w:val="8"/>
    <w:qFormat/>
    <w:uiPriority w:val="0"/>
  </w:style>
  <w:style w:type="character" w:customStyle="1" w:styleId="18">
    <w:name w:val="hover11"/>
    <w:basedOn w:val="8"/>
    <w:qFormat/>
    <w:uiPriority w:val="0"/>
  </w:style>
  <w:style w:type="character" w:customStyle="1" w:styleId="19">
    <w:name w:val="hover12"/>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2020-04-03T01:48:13Z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