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225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6"/>
        <w:gridCol w:w="1305"/>
        <w:gridCol w:w="7729"/>
        <w:gridCol w:w="2452"/>
        <w:gridCol w:w="1923"/>
        <w:gridCol w:w="2064"/>
        <w:gridCol w:w="6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578" w:type="dxa"/>
            <w:gridSpan w:val="7"/>
            <w:tcBorders>
              <w:top w:val="single" w:color="CCCCCC" w:sz="8" w:space="0"/>
              <w:left w:val="single" w:color="CCCCCC" w:sz="8" w:space="0"/>
              <w:bottom w:val="nil"/>
              <w:right w:val="nil"/>
            </w:tcBorders>
            <w:shd w:val="clear" w:color="auto" w:fill="auto"/>
            <w:vAlign w:val="center"/>
          </w:tcPr>
          <w:p>
            <w:pPr>
              <w:spacing w:line="240" w:lineRule="auto"/>
              <w:jc w:val="center"/>
              <w:rPr>
                <w:rFonts w:hint="eastAsia" w:ascii="宋体" w:hAnsi="宋体" w:eastAsia="宋体" w:cs="宋体"/>
                <w:i w:val="0"/>
                <w:iCs w:val="0"/>
                <w:color w:val="000000"/>
                <w:sz w:val="24"/>
                <w:szCs w:val="24"/>
                <w:u w:val="none"/>
              </w:rPr>
            </w:pPr>
            <w:r>
              <w:rPr>
                <w:rFonts w:hint="eastAsia" w:ascii="微软雅黑" w:hAnsi="微软雅黑" w:eastAsia="微软雅黑" w:cs="微软雅黑"/>
                <w:b/>
                <w:bCs/>
                <w:i w:val="0"/>
                <w:iCs w:val="0"/>
                <w:color w:val="000000"/>
                <w:kern w:val="0"/>
                <w:sz w:val="36"/>
                <w:szCs w:val="36"/>
                <w:u w:val="none"/>
                <w:lang w:val="en-US" w:eastAsia="zh-CN" w:bidi="ar"/>
              </w:rPr>
              <w:t>平顶山市第二人民医院门诊医技楼装修、配套设备工程（门诊医技楼新建项目二标段）项目</w:t>
            </w:r>
            <w:r>
              <w:rPr>
                <w:rStyle w:val="7"/>
                <w:lang w:val="en-US" w:eastAsia="zh-CN" w:bidi="ar"/>
              </w:rPr>
              <w:t xml:space="preserve"> 二月份 </w:t>
            </w:r>
            <w:r>
              <w:rPr>
                <w:rStyle w:val="8"/>
                <w:lang w:val="en-US" w:eastAsia="zh-CN" w:bidi="ar"/>
              </w:rPr>
              <w:t>异议及答复台账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w:t>
            </w:r>
          </w:p>
        </w:tc>
        <w:tc>
          <w:tcPr>
            <w:tcW w:w="7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异议/质疑内容</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异议/质疑人名称</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异议/质疑状态</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异议/质疑时间</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答复记录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招标公告中本项目名称为 “平顶山市第二人民医院门诊医技楼装修、配套设备工程（门诊医技楼新建项目二标段）项目”，系统中显示标段名称为第一标段，招标资料中 EGP 格式的招标文件名称显示第一标段，是否有误？</w:t>
            </w:r>
          </w:p>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i w:val="0"/>
                <w:iCs w:val="0"/>
                <w:color w:val="000000"/>
                <w:sz w:val="18"/>
                <w:szCs w:val="18"/>
                <w:u w:val="none"/>
              </w:rPr>
              <w:drawing>
                <wp:inline distT="0" distB="0" distL="114300" distR="114300">
                  <wp:extent cx="3665855" cy="1551940"/>
                  <wp:effectExtent l="0" t="0" r="10795" b="10160"/>
                  <wp:docPr id="2" name="图片 2" descr="6e5ef87b53a3b5e246bc7e055800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e5ef87b53a3b5e246bc7e055800be0"/>
                          <pic:cNvPicPr>
                            <a:picLocks noChangeAspect="1"/>
                          </pic:cNvPicPr>
                        </pic:nvPicPr>
                        <pic:blipFill>
                          <a:blip r:embed="rId4"/>
                          <a:stretch>
                            <a:fillRect/>
                          </a:stretch>
                        </pic:blipFill>
                        <pic:spPr>
                          <a:xfrm>
                            <a:off x="0" y="0"/>
                            <a:ext cx="3665855" cy="1551940"/>
                          </a:xfrm>
                          <a:prstGeom prst="rect">
                            <a:avLst/>
                          </a:prstGeom>
                        </pic:spPr>
                      </pic:pic>
                    </a:graphicData>
                  </a:graphic>
                </wp:inline>
              </w:drawing>
            </w:r>
            <w:r>
              <w:rPr>
                <w:rFonts w:hint="eastAsia" w:ascii="微软雅黑" w:hAnsi="微软雅黑" w:eastAsia="微软雅黑" w:cs="微软雅黑"/>
                <w:i w:val="0"/>
                <w:iCs w:val="0"/>
                <w:color w:val="000000"/>
                <w:sz w:val="18"/>
                <w:szCs w:val="18"/>
                <w:u w:val="none"/>
                <w:lang w:eastAsia="zh-CN"/>
              </w:rPr>
              <w:drawing>
                <wp:inline distT="0" distB="0" distL="114300" distR="114300">
                  <wp:extent cx="3573780" cy="2012950"/>
                  <wp:effectExtent l="0" t="0" r="7620" b="6350"/>
                  <wp:docPr id="3" name="图片 3" descr="1645064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064884(1)"/>
                          <pic:cNvPicPr>
                            <a:picLocks noChangeAspect="1"/>
                          </pic:cNvPicPr>
                        </pic:nvPicPr>
                        <pic:blipFill>
                          <a:blip r:embed="rId5"/>
                          <a:stretch>
                            <a:fillRect/>
                          </a:stretch>
                        </pic:blipFill>
                        <pic:spPr>
                          <a:xfrm>
                            <a:off x="0" y="0"/>
                            <a:ext cx="3573780" cy="2012950"/>
                          </a:xfrm>
                          <a:prstGeom prst="rect">
                            <a:avLst/>
                          </a:prstGeom>
                        </pic:spPr>
                      </pic:pic>
                    </a:graphicData>
                  </a:graphic>
                </wp:inline>
              </w:drawing>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中建八局第二建设有限公司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2022/2/17 10:32</w:t>
            </w:r>
          </w:p>
        </w:tc>
        <w:tc>
          <w:tcPr>
            <w:tcW w:w="6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答复：</w:t>
            </w:r>
            <w:r>
              <w:rPr>
                <w:rFonts w:hint="eastAsia" w:ascii="宋体" w:hAnsi="宋体" w:eastAsia="宋体" w:cs="宋体"/>
                <w:i w:val="0"/>
                <w:iCs w:val="0"/>
                <w:color w:val="000000"/>
                <w:kern w:val="0"/>
                <w:sz w:val="18"/>
                <w:szCs w:val="18"/>
                <w:u w:val="none"/>
                <w:lang w:val="en-US" w:eastAsia="zh-CN" w:bidi="ar"/>
              </w:rPr>
              <w:t>无误。本项目名称为“平顶山市第二人民医院门诊医技楼装修、配套设备工程（门诊医技楼新建项目二标段）项目”，系统显示标段信息只是针对平顶山市第二人民医院门诊医技楼装修、配套设备工程（门诊医技楼新建项目二标段）项目中的标段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招标文件要求投标单位设计资质为“工程设计乙级及以上资质”，我司设计资质为“建筑行业（建筑工程、人防工程）甲级”，是否符合要求，请明确？</w:t>
            </w:r>
            <w:r>
              <w:rPr>
                <w:rFonts w:hint="eastAsia" w:ascii="微软雅黑" w:hAnsi="微软雅黑" w:eastAsia="微软雅黑" w:cs="微软雅黑"/>
                <w:i w:val="0"/>
                <w:iCs w:val="0"/>
                <w:color w:val="000000"/>
                <w:sz w:val="18"/>
                <w:szCs w:val="18"/>
                <w:u w:val="none"/>
              </w:rPr>
              <w:drawing>
                <wp:inline distT="0" distB="0" distL="114300" distR="114300">
                  <wp:extent cx="4766945" cy="1727835"/>
                  <wp:effectExtent l="0" t="0" r="14605" b="5715"/>
                  <wp:docPr id="4" name="图片 4" descr="164506537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5065372(1) (1)"/>
                          <pic:cNvPicPr>
                            <a:picLocks noChangeAspect="1"/>
                          </pic:cNvPicPr>
                        </pic:nvPicPr>
                        <pic:blipFill>
                          <a:blip r:embed="rId6"/>
                          <a:stretch>
                            <a:fillRect/>
                          </a:stretch>
                        </pic:blipFill>
                        <pic:spPr>
                          <a:xfrm>
                            <a:off x="0" y="0"/>
                            <a:ext cx="4766945" cy="1727835"/>
                          </a:xfrm>
                          <a:prstGeom prst="rect">
                            <a:avLst/>
                          </a:prstGeom>
                        </pic:spPr>
                      </pic:pic>
                    </a:graphicData>
                  </a:graphic>
                </wp:inline>
              </w:drawing>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中建八局第二建设有限公司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2022/2/17 10:36</w:t>
            </w:r>
          </w:p>
        </w:tc>
        <w:tc>
          <w:tcPr>
            <w:tcW w:w="61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18"/>
                <w:szCs w:val="18"/>
              </w:rPr>
            </w:pPr>
            <w:r>
              <w:rPr>
                <w:rFonts w:hint="eastAsia"/>
                <w:b/>
                <w:bCs/>
                <w:sz w:val="18"/>
                <w:szCs w:val="18"/>
              </w:rPr>
              <w:t>答复：</w:t>
            </w:r>
            <w:r>
              <w:rPr>
                <w:rFonts w:hint="eastAsia"/>
                <w:sz w:val="18"/>
                <w:szCs w:val="18"/>
              </w:rPr>
              <w:t>本项目设计资质要求为：凡具有建筑工程行业设计乙级及以上资质即可</w:t>
            </w:r>
          </w:p>
          <w:p>
            <w:pPr>
              <w:spacing w:line="240" w:lineRule="auto"/>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lang w:val="en-US" w:eastAsia="zh-CN"/>
              </w:rPr>
            </w:pPr>
            <w:r>
              <w:rPr>
                <w:rFonts w:hint="eastAsia"/>
                <w:lang w:val="en-US" w:eastAsia="zh-CN"/>
              </w:rPr>
              <w:t>对招标文件提出异议</w:t>
            </w:r>
          </w:p>
          <w:p>
            <w:pPr>
              <w:pStyle w:val="2"/>
              <w:rPr>
                <w:rFonts w:hint="eastAsia"/>
              </w:rPr>
            </w:pPr>
            <w:r>
              <w:drawing>
                <wp:inline distT="0" distB="0" distL="114300" distR="114300">
                  <wp:extent cx="3333115" cy="3412490"/>
                  <wp:effectExtent l="0" t="0" r="63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3333115" cy="3412490"/>
                          </a:xfrm>
                          <a:prstGeom prst="rect">
                            <a:avLst/>
                          </a:prstGeom>
                          <a:noFill/>
                          <a:ln>
                            <a:noFill/>
                          </a:ln>
                        </pic:spPr>
                      </pic:pic>
                    </a:graphicData>
                  </a:graphic>
                </wp:inline>
              </w:drawing>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大连三川建设集团有限公司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2022/2/17 15:05</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 w:val="18"/>
                <w:szCs w:val="18"/>
              </w:rPr>
            </w:pPr>
            <w:r>
              <w:rPr>
                <w:rFonts w:hint="eastAsia"/>
                <w:b/>
                <w:bCs/>
                <w:sz w:val="18"/>
                <w:szCs w:val="18"/>
              </w:rPr>
              <w:t>答复</w:t>
            </w:r>
            <w:r>
              <w:rPr>
                <w:rFonts w:hint="eastAsia"/>
                <w:b/>
                <w:bCs/>
                <w:sz w:val="18"/>
                <w:szCs w:val="18"/>
                <w:lang w:val="en-US" w:eastAsia="zh-CN"/>
              </w:rPr>
              <w:t>1</w:t>
            </w:r>
            <w:r>
              <w:rPr>
                <w:rFonts w:hint="eastAsia"/>
                <w:b/>
                <w:bCs/>
                <w:sz w:val="18"/>
                <w:szCs w:val="18"/>
              </w:rPr>
              <w:t>：</w:t>
            </w:r>
            <w:r>
              <w:rPr>
                <w:rFonts w:hint="eastAsia" w:ascii="宋体" w:hAnsi="宋体" w:cs="宋体"/>
                <w:sz w:val="18"/>
                <w:szCs w:val="18"/>
              </w:rPr>
              <w:t>投标函附录更正为：</w:t>
            </w:r>
          </w:p>
          <w:p>
            <w:pPr>
              <w:pStyle w:val="2"/>
              <w:ind w:left="0" w:leftChars="0" w:firstLine="187" w:firstLineChars="104"/>
              <w:rPr>
                <w:sz w:val="18"/>
                <w:szCs w:val="18"/>
              </w:rPr>
            </w:pPr>
            <w:r>
              <w:rPr>
                <w:sz w:val="18"/>
                <w:szCs w:val="18"/>
              </w:rPr>
              <w:drawing>
                <wp:inline distT="0" distB="0" distL="114300" distR="114300">
                  <wp:extent cx="3502660" cy="4920615"/>
                  <wp:effectExtent l="0" t="0" r="254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3502660" cy="4920615"/>
                          </a:xfrm>
                          <a:prstGeom prst="rect">
                            <a:avLst/>
                          </a:prstGeom>
                          <a:noFill/>
                          <a:ln>
                            <a:noFill/>
                          </a:ln>
                        </pic:spPr>
                      </pic:pic>
                    </a:graphicData>
                  </a:graphic>
                </wp:inline>
              </w:drawing>
            </w:r>
          </w:p>
          <w:p>
            <w:pPr>
              <w:rPr>
                <w:rFonts w:ascii="宋体" w:hAnsi="宋体"/>
                <w:sz w:val="18"/>
                <w:szCs w:val="18"/>
              </w:rPr>
            </w:pPr>
            <w:r>
              <w:rPr>
                <w:rFonts w:hint="eastAsia" w:ascii="宋体" w:hAnsi="宋体"/>
                <w:b/>
                <w:bCs/>
                <w:sz w:val="18"/>
                <w:szCs w:val="18"/>
              </w:rPr>
              <w:t>答复</w:t>
            </w:r>
            <w:r>
              <w:rPr>
                <w:rFonts w:hint="eastAsia" w:ascii="宋体" w:hAnsi="宋体"/>
                <w:b/>
                <w:bCs/>
                <w:sz w:val="18"/>
                <w:szCs w:val="18"/>
                <w:lang w:val="en-US" w:eastAsia="zh-CN"/>
              </w:rPr>
              <w:t>2</w:t>
            </w:r>
            <w:r>
              <w:rPr>
                <w:rFonts w:hint="eastAsia" w:ascii="宋体" w:hAnsi="宋体"/>
                <w:b/>
                <w:bCs/>
                <w:sz w:val="18"/>
                <w:szCs w:val="18"/>
              </w:rPr>
              <w:t>：</w:t>
            </w:r>
            <w:r>
              <w:rPr>
                <w:rFonts w:hint="eastAsia" w:ascii="宋体" w:hAnsi="宋体"/>
                <w:sz w:val="18"/>
                <w:szCs w:val="18"/>
              </w:rPr>
              <w:t>应为：工程总承包合同签订后一个月内，需向中标人支付合同总价的20%作为工程预付款，履约保证金及预付款在合同实施过程中进行抵扣。</w:t>
            </w:r>
          </w:p>
          <w:p>
            <w:pPr>
              <w:rPr>
                <w:rFonts w:ascii="宋体" w:hAnsi="宋体"/>
                <w:color w:val="000000"/>
                <w:sz w:val="18"/>
                <w:szCs w:val="18"/>
              </w:rPr>
            </w:pPr>
            <w:r>
              <w:rPr>
                <w:rFonts w:hint="eastAsia" w:ascii="宋体" w:hAnsi="宋体"/>
                <w:b/>
                <w:bCs/>
                <w:sz w:val="18"/>
                <w:szCs w:val="18"/>
              </w:rPr>
              <w:t>答复</w:t>
            </w:r>
            <w:r>
              <w:rPr>
                <w:rFonts w:hint="eastAsia" w:ascii="宋体" w:hAnsi="宋体"/>
                <w:b/>
                <w:bCs/>
                <w:sz w:val="18"/>
                <w:szCs w:val="18"/>
                <w:lang w:val="en-US" w:eastAsia="zh-CN"/>
              </w:rPr>
              <w:t>3</w:t>
            </w:r>
            <w:r>
              <w:rPr>
                <w:rFonts w:hint="eastAsia" w:ascii="宋体" w:hAnsi="宋体"/>
                <w:b/>
                <w:bCs/>
                <w:sz w:val="18"/>
                <w:szCs w:val="18"/>
              </w:rPr>
              <w:t>：</w:t>
            </w:r>
            <w:r>
              <w:rPr>
                <w:rFonts w:hint="eastAsia" w:ascii="宋体" w:hAnsi="宋体" w:cs="宋体"/>
                <w:kern w:val="0"/>
                <w:sz w:val="18"/>
                <w:szCs w:val="18"/>
              </w:rPr>
              <w:t>2021年1月至今任意连续6个月</w:t>
            </w:r>
            <w:r>
              <w:rPr>
                <w:rFonts w:hint="eastAsia" w:ascii="宋体" w:hAnsi="宋体"/>
                <w:color w:val="000000"/>
                <w:sz w:val="18"/>
                <w:szCs w:val="18"/>
              </w:rPr>
              <w:t>依法缴纳税收和社会保障金的相关证明材料（依法免税或不需要缴纳社会保障金的投标人，应提供相应文件证明其依法免税或不需要缴纳社会保障金）</w:t>
            </w:r>
          </w:p>
          <w:p>
            <w:pPr>
              <w:spacing w:line="240" w:lineRule="auto"/>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关于本项目清单的一些问题，具体问题见附件，请予以明确。</w:t>
            </w:r>
          </w:p>
          <w:p>
            <w:pPr>
              <w:numPr>
                <w:ilvl w:val="0"/>
                <w:numId w:val="1"/>
              </w:numPr>
              <w:jc w:val="left"/>
              <w:rPr>
                <w:rFonts w:hint="eastAsia" w:ascii="微软雅黑" w:hAnsi="微软雅黑" w:eastAsia="微软雅黑" w:cs="微软雅黑"/>
                <w:i w:val="0"/>
                <w:iCs w:val="0"/>
                <w:color w:val="000000"/>
                <w:sz w:val="18"/>
                <w:szCs w:val="18"/>
                <w:u w:val="none"/>
              </w:rPr>
            </w:pPr>
            <w:r>
              <w:rPr>
                <w:rFonts w:hint="eastAsia"/>
              </w:rPr>
              <w:t>一标段和二标段发布的工程量清单中表14主要材料价格表是否应该为空表，显示材料工程量是否合适，请复核？</w:t>
            </w:r>
            <w:r>
              <w:drawing>
                <wp:inline distT="0" distB="0" distL="114300" distR="114300">
                  <wp:extent cx="3178810" cy="4050030"/>
                  <wp:effectExtent l="0" t="0" r="254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3178810" cy="4050030"/>
                          </a:xfrm>
                          <a:prstGeom prst="rect">
                            <a:avLst/>
                          </a:prstGeom>
                          <a:noFill/>
                          <a:ln>
                            <a:noFill/>
                          </a:ln>
                        </pic:spPr>
                      </pic:pic>
                    </a:graphicData>
                  </a:graphic>
                </wp:inline>
              </w:drawing>
            </w:r>
            <w:r>
              <w:rPr>
                <w:rFonts w:hint="eastAsia"/>
              </w:rPr>
              <w:t>如若表格内容不能清空，投标报价中的主要材料价格表数量这一列是否要与工程量清单的数量完全保持一致？</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中国二冶集团有限公司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2022/2/19 10:20</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rPr>
                <w:rFonts w:hint="eastAsia" w:ascii="宋体" w:hAnsi="宋体" w:eastAsia="宋体" w:cs="宋体"/>
                <w:i w:val="0"/>
                <w:iCs w:val="0"/>
                <w:color w:val="000000"/>
                <w:sz w:val="18"/>
                <w:szCs w:val="18"/>
                <w:u w:val="none"/>
              </w:rPr>
            </w:pPr>
            <w:r>
              <w:rPr>
                <w:rFonts w:hint="eastAsia" w:ascii="宋体" w:hAnsi="宋体"/>
                <w:b/>
                <w:bCs/>
                <w:sz w:val="18"/>
                <w:szCs w:val="18"/>
              </w:rPr>
              <w:t>回复：</w:t>
            </w:r>
            <w:r>
              <w:rPr>
                <w:rFonts w:hint="eastAsia"/>
                <w:sz w:val="18"/>
                <w:szCs w:val="18"/>
              </w:rPr>
              <w:t>电子交易系统中发布工程量清单中的主要材料价格表中材料量及材料编码仅作参考，投标单位在投标报价时，主要材料价格表格14中主要材料数量及材料编码可根据投标人采用的计价软件生成。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spacing w:line="240" w:lineRule="auto"/>
              <w:jc w:val="left"/>
              <w:textAlignment w:val="center"/>
              <w:rPr>
                <w:rFonts w:hint="eastAsia"/>
                <w:lang w:val="en-US" w:eastAsia="zh-CN"/>
              </w:rPr>
            </w:pPr>
            <w:r>
              <w:rPr>
                <w:rFonts w:hint="eastAsia"/>
                <w:lang w:val="en-US" w:eastAsia="zh-CN"/>
              </w:rPr>
              <w:t>请问我方提供建筑面积不低于40000㎡的包含装饰装修的公共建筑工程施工总承包业绩是否等同于建筑面积不低于40000㎡的公共建筑工程装饰装修业绩？ 2、本项目项目管理机构组成表是否需要提供检测员？若需要提供，是否提供相关专业职称证即可？ 3、附件“控制价明细表”中给出了本项目的控制价明细。其中给定的不可竞争费的具体金额，请问是否除暂列金额、暂估价的金额要和控制价保持一致外，其他费用的金额只需按相关政策文件给定的费率记取且金额不超过给定的控制价金额即可？ 4、清单编制说明中第四项第3条“二标段综合脚手架和垂直运输费按建筑面积30%进行分配”，但综合脚手架和垂直运输在工程量清单中已列明清单并给出工程量，两者有冲突，请问两笔费用以哪一项为主？ 5、项目给定的工程量清单中“表-14 主要材料价格表”里面列出了主材明细及详细的工程量，由于各投标人对每条清单的综合考虑不同，套取定额不同会导致，主材的数量无法与给定的表格一致，是否只需保证主材种类相当且大致一致即可？（因字数限制，其他异议内容详见附件：工程异议函）</w:t>
            </w:r>
          </w:p>
          <w:p>
            <w:pPr>
              <w:keepNext w:val="0"/>
              <w:keepLines w:val="0"/>
              <w:widowControl/>
              <w:numPr>
                <w:ilvl w:val="0"/>
                <w:numId w:val="0"/>
              </w:numPr>
              <w:suppressLineNumbers w:val="0"/>
              <w:spacing w:line="240" w:lineRule="auto"/>
              <w:jc w:val="center"/>
              <w:textAlignment w:val="center"/>
              <w:rPr>
                <w:rFonts w:hint="eastAsia" w:eastAsiaTheme="minorEastAsia"/>
                <w:lang w:eastAsia="zh-CN"/>
              </w:rPr>
            </w:pPr>
            <w:r>
              <w:rPr>
                <w:rFonts w:hint="eastAsia" w:eastAsiaTheme="minorEastAsia"/>
                <w:lang w:eastAsia="zh-CN"/>
              </w:rPr>
              <w:drawing>
                <wp:inline distT="0" distB="0" distL="114300" distR="114300">
                  <wp:extent cx="2072640" cy="2931160"/>
                  <wp:effectExtent l="0" t="0" r="3810" b="2540"/>
                  <wp:docPr id="12" name="图片 12" descr="工程异议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异议函"/>
                          <pic:cNvPicPr>
                            <a:picLocks noChangeAspect="1"/>
                          </pic:cNvPicPr>
                        </pic:nvPicPr>
                        <pic:blipFill>
                          <a:blip r:embed="rId10"/>
                          <a:stretch>
                            <a:fillRect/>
                          </a:stretch>
                        </pic:blipFill>
                        <pic:spPr>
                          <a:xfrm>
                            <a:off x="0" y="0"/>
                            <a:ext cx="2072640" cy="2931160"/>
                          </a:xfrm>
                          <a:prstGeom prst="rect">
                            <a:avLst/>
                          </a:prstGeom>
                        </pic:spPr>
                      </pic:pic>
                    </a:graphicData>
                  </a:graphic>
                </wp:inline>
              </w:drawing>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中铁十一局集团建筑安装工程有限公司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2022/2/20 21:51</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b/>
                <w:sz w:val="18"/>
                <w:szCs w:val="18"/>
              </w:rPr>
            </w:pPr>
            <w:r>
              <w:rPr>
                <w:rFonts w:hint="eastAsia"/>
                <w:b/>
                <w:sz w:val="18"/>
                <w:szCs w:val="18"/>
              </w:rPr>
              <w:t>回复：</w:t>
            </w:r>
          </w:p>
          <w:p>
            <w:pPr>
              <w:spacing w:line="240" w:lineRule="auto"/>
              <w:rPr>
                <w:rFonts w:ascii="宋体" w:hAnsi="宋体" w:cs="仿宋"/>
                <w:sz w:val="18"/>
                <w:szCs w:val="18"/>
              </w:rPr>
            </w:pPr>
            <w:r>
              <w:rPr>
                <w:rFonts w:hint="eastAsia"/>
                <w:sz w:val="18"/>
                <w:szCs w:val="18"/>
              </w:rPr>
              <w:t>1、中标金额不低于</w:t>
            </w:r>
            <w:r>
              <w:rPr>
                <w:sz w:val="18"/>
                <w:szCs w:val="18"/>
              </w:rPr>
              <w:t>6000万元或建筑面积不低于40000㎡的公共建筑工程装饰装修业绩可以为包含建筑装修的公共建筑施工总承包业绩，但在提供的业绩资料中应明确包含有建筑装修的证明内容</w:t>
            </w:r>
            <w:r>
              <w:rPr>
                <w:rFonts w:hint="eastAsia" w:ascii="宋体" w:hAnsi="宋体" w:cs="仿宋"/>
                <w:sz w:val="18"/>
                <w:szCs w:val="18"/>
              </w:rPr>
              <w:t>；</w:t>
            </w:r>
          </w:p>
          <w:p>
            <w:pPr>
              <w:spacing w:line="240" w:lineRule="auto"/>
              <w:rPr>
                <w:rFonts w:ascii="宋体" w:hAnsi="宋体" w:cs="宋体"/>
                <w:kern w:val="0"/>
                <w:sz w:val="18"/>
                <w:szCs w:val="18"/>
              </w:rPr>
            </w:pPr>
            <w:r>
              <w:rPr>
                <w:rFonts w:hint="eastAsia"/>
                <w:sz w:val="18"/>
                <w:szCs w:val="18"/>
              </w:rPr>
              <w:t>2、项目管理机构组成按招标文件要求</w:t>
            </w:r>
            <w:r>
              <w:rPr>
                <w:rFonts w:hint="eastAsia" w:ascii="宋体" w:hAnsi="宋体" w:cs="宋体"/>
                <w:kern w:val="0"/>
                <w:sz w:val="18"/>
                <w:szCs w:val="18"/>
              </w:rPr>
              <w:t>；</w:t>
            </w:r>
          </w:p>
          <w:p>
            <w:pPr>
              <w:spacing w:line="240" w:lineRule="auto"/>
              <w:rPr>
                <w:sz w:val="18"/>
                <w:szCs w:val="18"/>
              </w:rPr>
            </w:pPr>
            <w:r>
              <w:rPr>
                <w:sz w:val="18"/>
                <w:szCs w:val="18"/>
              </w:rPr>
              <w:t>3、附件“控制价明细表”中给出了本项目的控制价明细。其中除暂列金额、暂估价的金额要和控制价保持一致外，其他费用的金额只需按相关政策文件给定的费率记取且金额不超过给定的控制价金额即可</w:t>
            </w:r>
          </w:p>
          <w:p>
            <w:pPr>
              <w:spacing w:line="240" w:lineRule="auto"/>
              <w:rPr>
                <w:sz w:val="18"/>
                <w:szCs w:val="18"/>
              </w:rPr>
            </w:pPr>
            <w:r>
              <w:rPr>
                <w:sz w:val="18"/>
                <w:szCs w:val="18"/>
              </w:rPr>
              <w:t>4、以工程量清单中工程量为准</w:t>
            </w:r>
          </w:p>
          <w:p>
            <w:pPr>
              <w:spacing w:line="240" w:lineRule="auto"/>
              <w:rPr>
                <w:sz w:val="18"/>
                <w:szCs w:val="18"/>
              </w:rPr>
            </w:pPr>
            <w:r>
              <w:rPr>
                <w:sz w:val="18"/>
                <w:szCs w:val="18"/>
              </w:rPr>
              <w:t>5、</w:t>
            </w:r>
            <w:r>
              <w:rPr>
                <w:rFonts w:hint="eastAsia"/>
                <w:sz w:val="18"/>
                <w:szCs w:val="18"/>
              </w:rPr>
              <w:t>详见电子交易系统中质疑信息及相关回复信息；</w:t>
            </w:r>
          </w:p>
          <w:p>
            <w:pPr>
              <w:spacing w:line="240" w:lineRule="auto"/>
              <w:rPr>
                <w:sz w:val="18"/>
                <w:szCs w:val="18"/>
              </w:rPr>
            </w:pPr>
            <w:r>
              <w:rPr>
                <w:sz w:val="18"/>
                <w:szCs w:val="18"/>
              </w:rPr>
              <w:t>6、此项费用自行汇总到“其他项目清单与计价汇总表”的材料（工程设备）暂估价中</w:t>
            </w:r>
          </w:p>
          <w:p>
            <w:pPr>
              <w:spacing w:line="240" w:lineRule="auto"/>
              <w:jc w:val="left"/>
              <w:rPr>
                <w:rFonts w:hint="eastAsia" w:ascii="宋体" w:hAnsi="宋体" w:eastAsia="宋体" w:cs="宋体"/>
                <w:i w:val="0"/>
                <w:iCs w:val="0"/>
                <w:color w:val="000000"/>
                <w:sz w:val="18"/>
                <w:szCs w:val="18"/>
                <w:u w:val="none"/>
              </w:rPr>
            </w:pPr>
            <w:r>
              <w:rPr>
                <w:sz w:val="18"/>
                <w:szCs w:val="18"/>
              </w:rPr>
              <w:t>7、工程量清单,电梯扶梯专业暂估价和材料暂估价均按照不含税价格考虑</w:t>
            </w:r>
            <w:r>
              <w:rPr>
                <w:rFonts w:hint="eastAsia"/>
                <w:sz w:val="18"/>
                <w:szCs w:val="18"/>
              </w:rPr>
              <w:t>8、工程开竣工日期按合同约定。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6"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w:t>
            </w:r>
            <w:r>
              <w:rPr>
                <w:rFonts w:hint="eastAsia" w:ascii="宋体" w:hAnsi="宋体" w:eastAsia="宋体"/>
                <w:sz w:val="18"/>
                <w:szCs w:val="18"/>
              </w:rPr>
              <w:t>招标文件要求提供的“住房和城乡建设部建造师网上查询页面截图”，是否指“全国建筑市场监管公共服务平台（四库一平台）”相关截图？</w:t>
            </w:r>
          </w:p>
          <w:p>
            <w:pP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w:t>
            </w:r>
            <w:r>
              <w:rPr>
                <w:rFonts w:hint="eastAsia" w:ascii="宋体" w:hAnsi="宋体" w:eastAsia="宋体"/>
                <w:sz w:val="18"/>
                <w:szCs w:val="18"/>
              </w:rPr>
              <w:t>申请人资格要求3</w:t>
            </w:r>
            <w:r>
              <w:rPr>
                <w:rFonts w:ascii="宋体" w:hAnsi="宋体" w:eastAsia="宋体"/>
                <w:sz w:val="18"/>
                <w:szCs w:val="18"/>
              </w:rPr>
              <w:t>.2</w:t>
            </w:r>
            <w:r>
              <w:rPr>
                <w:rFonts w:hint="eastAsia" w:ascii="宋体" w:hAnsi="宋体" w:eastAsia="宋体"/>
                <w:sz w:val="18"/>
                <w:szCs w:val="18"/>
              </w:rPr>
              <w:t>项“需提供承诺书”是否仅指“未在其他在建工程项目中担任项目经理”？</w:t>
            </w:r>
          </w:p>
          <w:p>
            <w:pP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w:t>
            </w:r>
            <w:r>
              <w:rPr>
                <w:rFonts w:hint="eastAsia" w:ascii="宋体" w:hAnsi="宋体" w:eastAsia="宋体"/>
                <w:sz w:val="18"/>
                <w:szCs w:val="18"/>
              </w:rPr>
              <w:t>本项目对人员业绩未作要求，人员简历表的相关工作经历是否可不填或打斜杠？投标文件格式未给出项目管理机构中除项目经理以外人员的简历表，是否可由投标人自拟？</w:t>
            </w:r>
          </w:p>
          <w:p>
            <w:pP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w:t>
            </w:r>
            <w:r>
              <w:rPr>
                <w:rFonts w:hint="eastAsia" w:ascii="宋体" w:hAnsi="宋体" w:eastAsia="宋体"/>
                <w:sz w:val="18"/>
                <w:szCs w:val="18"/>
              </w:rPr>
              <w:t>《中华人民共和国政府采购法》第二十二条第（四）项规定：供应商参加政府采购活动应当有依法缴纳税收和社会保障资金的良好记录。本招标文件未对该项内容作具体要求，请问投标人应提供什么时间段的何种证明材料？发票、纳税证明、自行出具的承诺书是否均满足？投标人出具的拟投入本项目管理机构人员的养老保险证明材料，是否即满足“依法缴纳社会保障资金”？</w:t>
            </w:r>
          </w:p>
          <w:p>
            <w:pP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w:t>
            </w:r>
            <w:r>
              <w:rPr>
                <w:rFonts w:hint="eastAsia" w:ascii="宋体" w:hAnsi="宋体" w:eastAsia="宋体"/>
                <w:sz w:val="18"/>
                <w:szCs w:val="18"/>
              </w:rPr>
              <w:t>招标文件要求提供的“近年财务状况表”，受电子投标文件大小限制，为便于电子投标文件制作及加解密，投标人是否可以仅提供“资产负债表、现金流量表、利润表、所有者权益变动表”，不提供“财报附注、财务情况说明书”等内容？</w:t>
            </w:r>
          </w:p>
          <w:p>
            <w:pP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w:t>
            </w:r>
            <w:r>
              <w:rPr>
                <w:rFonts w:hint="eastAsia" w:ascii="宋体" w:hAnsi="宋体" w:eastAsia="宋体"/>
                <w:sz w:val="18"/>
                <w:szCs w:val="18"/>
              </w:rPr>
              <w:t>具备有效的“</w:t>
            </w:r>
            <w:r>
              <w:rPr>
                <w:rFonts w:ascii="宋体" w:hAnsi="宋体" w:eastAsia="宋体"/>
                <w:sz w:val="18"/>
                <w:szCs w:val="18"/>
              </w:rPr>
              <w:t>土建施工员、装饰装修施工员、设备安装施工员、市政工程施工员</w:t>
            </w:r>
            <w:r>
              <w:rPr>
                <w:rFonts w:hint="eastAsia" w:ascii="宋体" w:hAnsi="宋体" w:eastAsia="宋体"/>
                <w:sz w:val="18"/>
                <w:szCs w:val="18"/>
              </w:rPr>
              <w:t>”岗位证书（职业培训合格证）之一的人员，是否即满足本项目资格条件中的“施工员”？具备有效的“</w:t>
            </w:r>
            <w:r>
              <w:rPr>
                <w:rFonts w:ascii="宋体" w:hAnsi="宋体" w:eastAsia="宋体"/>
                <w:sz w:val="18"/>
                <w:szCs w:val="18"/>
              </w:rPr>
              <w:t>土建质量员、装饰装修质量员、设备安装质量员、市政工程质量员</w:t>
            </w:r>
            <w:r>
              <w:rPr>
                <w:rFonts w:hint="eastAsia" w:ascii="宋体" w:hAnsi="宋体" w:eastAsia="宋体"/>
                <w:sz w:val="18"/>
                <w:szCs w:val="18"/>
              </w:rPr>
              <w:t>”岗位证书（职业培训合格证）之一的人员，是否即满足本项目资格条件中的“质检（量）员”？</w:t>
            </w:r>
          </w:p>
          <w:p>
            <w:pP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w:t>
            </w:r>
            <w:r>
              <w:rPr>
                <w:rFonts w:hint="eastAsia" w:ascii="宋体" w:hAnsi="宋体" w:eastAsia="宋体"/>
                <w:sz w:val="18"/>
                <w:szCs w:val="18"/>
              </w:rPr>
              <w:t>施工员、质检（量）员、安全员、材料员、资料员是否可以为具有“岗位证书（职业培训合格证）”，但不具备“职称证”的人员？</w:t>
            </w:r>
          </w:p>
          <w:p>
            <w:pPr>
              <w:rPr>
                <w:rFonts w:hint="eastAsia" w:ascii="微软雅黑" w:hAnsi="微软雅黑" w:eastAsia="微软雅黑" w:cs="微软雅黑"/>
                <w:i w:val="0"/>
                <w:iCs w:val="0"/>
                <w:color w:val="000000"/>
                <w:sz w:val="18"/>
                <w:szCs w:val="18"/>
                <w:u w:val="none"/>
              </w:rPr>
            </w:pPr>
            <w:r>
              <w:rPr>
                <w:rFonts w:ascii="宋体" w:hAnsi="宋体" w:eastAsia="宋体"/>
                <w:sz w:val="18"/>
                <w:szCs w:val="18"/>
              </w:rPr>
              <w:t>8.</w:t>
            </w:r>
            <w:r>
              <w:rPr>
                <w:rFonts w:hint="eastAsia" w:ascii="宋体" w:hAnsi="宋体" w:eastAsia="宋体"/>
                <w:sz w:val="18"/>
                <w:szCs w:val="18"/>
              </w:rPr>
              <w:t>本项目投标阶段提供的项目管理机构人员，是否可以与同期投标的“平顶山市第二人民医院门诊医技楼基桩、土建及安装工程（门诊医技楼新建项目一标段）项目”重复配置或部分重复配置？</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中铁十四局集团有限公司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2022/2/21 0:34</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b/>
                <w:sz w:val="18"/>
                <w:szCs w:val="18"/>
              </w:rPr>
            </w:pPr>
            <w:r>
              <w:rPr>
                <w:rFonts w:hint="eastAsia" w:ascii="宋体" w:hAnsi="宋体" w:eastAsia="宋体"/>
                <w:b/>
                <w:sz w:val="18"/>
                <w:szCs w:val="18"/>
              </w:rPr>
              <w:t>回复：</w:t>
            </w:r>
          </w:p>
          <w:p>
            <w:pPr>
              <w:spacing w:line="240" w:lineRule="auto"/>
              <w:rPr>
                <w:rFonts w:hint="eastAsia" w:ascii="宋体" w:hAnsi="宋体" w:eastAsia="宋体"/>
                <w:sz w:val="18"/>
                <w:szCs w:val="18"/>
              </w:rPr>
            </w:pPr>
            <w:r>
              <w:rPr>
                <w:rFonts w:hint="eastAsia" w:ascii="宋体" w:hAnsi="宋体" w:eastAsia="宋体"/>
                <w:sz w:val="18"/>
                <w:szCs w:val="18"/>
              </w:rPr>
              <w:t>1、住房和城乡建设部网上查询页面截图即为全国建筑市场监管公共服务平台（四库一平台）相关截图；</w:t>
            </w:r>
          </w:p>
          <w:p>
            <w:pPr>
              <w:spacing w:line="240" w:lineRule="auto"/>
              <w:rPr>
                <w:rFonts w:hint="eastAsia" w:ascii="宋体" w:hAnsi="宋体" w:eastAsia="宋体"/>
                <w:sz w:val="18"/>
                <w:szCs w:val="18"/>
              </w:rPr>
            </w:pPr>
            <w:r>
              <w:rPr>
                <w:rFonts w:hint="eastAsia" w:ascii="宋体" w:hAnsi="宋体" w:eastAsia="宋体"/>
                <w:sz w:val="18"/>
                <w:szCs w:val="18"/>
              </w:rPr>
              <w:t>2、申请人资格要求3</w:t>
            </w:r>
            <w:r>
              <w:rPr>
                <w:rFonts w:ascii="宋体" w:hAnsi="宋体" w:eastAsia="宋体"/>
                <w:sz w:val="18"/>
                <w:szCs w:val="18"/>
              </w:rPr>
              <w:t>.2</w:t>
            </w:r>
            <w:r>
              <w:rPr>
                <w:rFonts w:hint="eastAsia" w:ascii="宋体" w:hAnsi="宋体" w:eastAsia="宋体"/>
                <w:sz w:val="18"/>
                <w:szCs w:val="18"/>
              </w:rPr>
              <w:t>项“需提供承诺书”是指本项目拟派项目经理未在其他在建工程项目中担任项目经理；</w:t>
            </w:r>
          </w:p>
          <w:p>
            <w:pPr>
              <w:spacing w:line="240" w:lineRule="auto"/>
              <w:rPr>
                <w:rFonts w:hint="eastAsia" w:ascii="宋体" w:hAnsi="宋体" w:eastAsia="宋体"/>
                <w:sz w:val="18"/>
                <w:szCs w:val="18"/>
              </w:rPr>
            </w:pPr>
            <w:r>
              <w:rPr>
                <w:rFonts w:hint="eastAsia" w:ascii="宋体" w:hAnsi="宋体" w:eastAsia="宋体"/>
                <w:sz w:val="18"/>
                <w:szCs w:val="18"/>
              </w:rPr>
              <w:t>3、本项目对人员业绩未作要求，人员简历表的相关工作经历填报按投标人对招标文件的理解自行填报，项目管理机构中除项目经理以外人员的简历表，格式可由由投标人自拟；</w:t>
            </w:r>
          </w:p>
          <w:p>
            <w:pPr>
              <w:spacing w:line="240" w:lineRule="auto"/>
              <w:rPr>
                <w:rFonts w:hint="eastAsia" w:ascii="宋体" w:hAnsi="宋体" w:eastAsia="宋体"/>
                <w:sz w:val="18"/>
                <w:szCs w:val="18"/>
              </w:rPr>
            </w:pPr>
            <w:r>
              <w:rPr>
                <w:rFonts w:hint="eastAsia" w:ascii="宋体" w:hAnsi="宋体" w:eastAsia="宋体"/>
                <w:sz w:val="18"/>
                <w:szCs w:val="18"/>
              </w:rPr>
              <w:t>4、本项目对缴纳税收及社会保障金的相关要求，详见招标文件及其他质疑回复中的相关规定；</w:t>
            </w:r>
          </w:p>
          <w:p>
            <w:pPr>
              <w:spacing w:line="240" w:lineRule="auto"/>
              <w:rPr>
                <w:rFonts w:hint="eastAsia" w:ascii="宋体" w:hAnsi="宋体" w:eastAsia="宋体"/>
                <w:sz w:val="18"/>
                <w:szCs w:val="18"/>
              </w:rPr>
            </w:pPr>
            <w:r>
              <w:rPr>
                <w:rFonts w:hint="eastAsia" w:ascii="宋体" w:hAnsi="宋体" w:eastAsia="宋体"/>
                <w:sz w:val="18"/>
                <w:szCs w:val="18"/>
              </w:rPr>
              <w:t>5、本项目要求投标单位提供2018、2019、2020年度经审计的财务状况报告，若投标单位为新成立企业，提供自注册年度之后的经审计的财务报告；</w:t>
            </w:r>
          </w:p>
          <w:p>
            <w:pPr>
              <w:spacing w:line="240" w:lineRule="auto"/>
              <w:rPr>
                <w:rFonts w:hint="eastAsia" w:ascii="宋体" w:hAnsi="宋体" w:eastAsia="宋体"/>
                <w:sz w:val="18"/>
                <w:szCs w:val="18"/>
              </w:rPr>
            </w:pPr>
            <w:r>
              <w:rPr>
                <w:rFonts w:hint="eastAsia" w:ascii="宋体" w:hAnsi="宋体" w:eastAsia="宋体"/>
                <w:sz w:val="18"/>
                <w:szCs w:val="18"/>
              </w:rPr>
              <w:t>6、根据本项目具体情况，“施工员”、“质量员”是具备土建施工员或装饰装修施工员和土建质量员或装饰装修质量员岗位证书的人员。</w:t>
            </w:r>
          </w:p>
          <w:p>
            <w:pPr>
              <w:spacing w:line="240" w:lineRule="auto"/>
              <w:rPr>
                <w:rFonts w:hint="eastAsia" w:ascii="宋体" w:hAnsi="宋体" w:eastAsia="宋体"/>
                <w:sz w:val="18"/>
                <w:szCs w:val="18"/>
              </w:rPr>
            </w:pPr>
            <w:r>
              <w:rPr>
                <w:rFonts w:hint="eastAsia" w:ascii="宋体" w:hAnsi="宋体" w:eastAsia="宋体"/>
                <w:sz w:val="18"/>
                <w:szCs w:val="18"/>
              </w:rPr>
              <w:t>7、本项目要求拟派施工员、质检（量）员、安全员、材料员、资料员具有有效的岗位证书；</w:t>
            </w:r>
          </w:p>
          <w:p>
            <w:pPr>
              <w:spacing w:line="240" w:lineRule="auto"/>
              <w:rPr>
                <w:rFonts w:hint="eastAsia" w:ascii="宋体" w:hAnsi="宋体" w:eastAsia="宋体" w:cs="宋体"/>
                <w:i w:val="0"/>
                <w:iCs w:val="0"/>
                <w:color w:val="000000"/>
                <w:sz w:val="18"/>
                <w:szCs w:val="18"/>
                <w:u w:val="none"/>
              </w:rPr>
            </w:pPr>
            <w:r>
              <w:rPr>
                <w:rFonts w:hint="eastAsia" w:ascii="宋体" w:hAnsi="宋体" w:eastAsia="宋体"/>
                <w:sz w:val="18"/>
                <w:szCs w:val="18"/>
              </w:rPr>
              <w:t>8、如投标单位同时投报“平顶山市第二人民医院门诊医技楼基桩、土建及安装工程（门诊医技楼新建项目一标段）项目”和“平顶山市第二人民医院门诊医技楼装修、配套设备工程（门诊医技楼新建项目二标段）项目”，投标文件中的项目管理机构人员，在符合各标段资格要求的情况下，可以重复或部分重复（但如若两个标段同时中标，项目机构组成人员具体要求，由招标人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7"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质疑函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关于平顶山市第二人民医院门诊医技楼装修、配套设备工程（门诊医技楼新建项目二标段）项目公开招标公告“二、申请人资格要求：3.2具有履行合同所必须的设备和专业技术能力（提供承诺函，并具有建筑装饰装修工程专业承包一级资质、建筑工程施工总承包一级及以上资质、工程设计乙级及以上资质；...”部分内容违反相关法律、行政法规规定，违反公开、公平、公正和诚实信用原则，严重损害潜在投标人的合法权益，质疑如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按照工程专业资质划分情况和招标规范，招标要求中专业承包资质（装修）和施工总承包资质只能是“或”的关系，而不是“且”的关系，因为施工总承包资质涵盖了所有的专业承包工程，请查住房和城乡建设部《建筑业企业资质标准》：建筑工程是指各类结构形式的民用建筑工程、工业建筑工程、构筑物工 程以及相配套的道路、通信、管网管线等设施工程。工程内容包括地基与基础、 主体结构、建筑屋面、装修装饰、建筑幕墙、附建人防工程以及给水排水及供暖、 通风与空调、电气、消防、防雷等配套工程。而本招标公告却同时要求了建筑装饰装修工程专业承包一级资质、建筑工程施工总承包一级及以上资质。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本项目设计即平顶山市第二人民医院门诊医技楼新建项目设计招标(二次)于2021年2月4日在平顶山市公共资源交易中心网发布了招标公告，公告中明确“5.5、招标范围：设计单位中标后须完成方案设计、初步设计、施工图设计及后续相关服务（含现场服务）以及项目概况所有内容。”，该设计深度已达到施工图设计深度，意味者本项目所有设计工作均已涵盖，而平顶山市第二人民医院门诊医技楼装修、配套设备工程（门诊医技楼新建项目二标段）项目招标公告却要求工程设计乙级及以上资质，虽然其招标公告5.3、采购范围中有“及部分分部分项工程需二次深化设计内容（包含设计）”字眼，实属欲盖弥彰，想用这几个和前期设计招标冲突的字眼来掩盖违法违规的事实实属大胆、可笑。</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与该项目同时发标的平顶山市第二人民医院门诊医技楼基桩、土建及安装工程（门诊医技楼新建项目一标段）项目，建设内容涵盖了土建、给排水、强电、消防报警、通风空调及配电房，体量达1.2亿多，招标公告中仅要求了建筑工程施工总承包一级及以上资质证书，相比之下，无论是专业范围还是项目体量，平顶山市第二人民医院门诊医技楼装修、配套设备工程（门诊医技楼新建项目二标段）项目要求了建筑装饰装修工程专业承包一级资质、建筑工程施工总承包一级及以上资质、工程设计乙级及以上资质，实在让人匪夷所思，明显为特定投标人量身定做，排斥其他潜在投标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综上，我方认为平顶山市第二人民医院门诊医技楼装修、配套设备工程（门诊医技楼新建项目二标段）项目招标严重违反：</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①《中华人民共和国招投标法》第二十条“不得要求或者标明特定的生产供应者以及含有倾向或者排斥潜在投标人的其他内容”；</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②《中华人民共和国招投标法实施条例》第三十二条“招标人不得以不合理的条件限制、排斥潜在投标人或者投标人。招标人有下列行为之一的，属于以不合理条件限制、排斥潜在投标人或者投标人：(二)设定的资格、技术、商务条件与招标项目的具体特点和实际需要不相适应或者与合同履行无关；”；</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③《中华人民共和国政府采购法实施条例》第二十条“采购人或者采购代理机构有下列情形之一的，属于以不合理的条件对供应商实行差别待遇或者歧视待遇：（二）设定的资格、技术、商务条件与采购项目的具体特点和实际需要不相适应或者与合同履行无关；”；</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④《政府采购货物和服务招标投标管理办法》（财政部87号令）第二十五条“招标文件、资格预审文件的内容不得违反法律、行政法规、强制性标准、政府采购政策，或者违反公开透明、公平竞争、公正和诚实信用原则。”。</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根据《中华人民共和国政府采购法》第三十六条“在招标采购中，出现下列情形之一的，应予废标：（二）出现影响采购公正的违法、违规行为的；”和《政府采购货物和服务招标投标管理办法》（财政部87号令）第二十五条“招标文件、资格预审文件的内容不得违反法律、行政法规、强制性标准、政府采购政策，或者违反公开透明、公平竞争、公正和诚实信用原则。有前款规定情形，影响潜在投标人投标或者资格预审结果的，采购人或者采购代理机构应当修改招标文件或者资格预审文件后重新招标。”的相关规定，我方要求废止该项目招标，并请求相关监督部门和纪检部门深入调查招标公告内容来源渠道和决策机制，是否存在名为招标实则走过场？是否存在为特定投标人量身定做、人为设置竞争壁垒？甘愿冒着违规违法风险，中间是否存在利益输送？请还所有潜在投标人一个公开、公平、公正的营商环境和社会环境！我方保留继续向上级监督和纪检部门继续质疑投诉的权利！</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望以答复为盼！</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河南征信建筑工程有限公司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2022/2/21 14:30</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s="宋体"/>
                <w:b/>
                <w:sz w:val="18"/>
                <w:szCs w:val="18"/>
                <w:lang w:eastAsia="zh-CN"/>
              </w:rPr>
            </w:pPr>
            <w:r>
              <w:rPr>
                <w:rFonts w:hint="eastAsia" w:ascii="宋体" w:hAnsi="宋体" w:eastAsia="宋体" w:cs="宋体"/>
                <w:b/>
                <w:sz w:val="18"/>
                <w:szCs w:val="18"/>
              </w:rPr>
              <w:t>回复</w:t>
            </w:r>
            <w:r>
              <w:rPr>
                <w:rFonts w:hint="eastAsia" w:ascii="宋体" w:hAnsi="宋体" w:eastAsia="宋体" w:cs="宋体"/>
                <w:b/>
                <w:sz w:val="18"/>
                <w:szCs w:val="18"/>
                <w:lang w:eastAsia="zh-CN"/>
              </w:rPr>
              <w:t>：</w:t>
            </w:r>
          </w:p>
          <w:p>
            <w:pPr>
              <w:keepNext w:val="0"/>
              <w:keepLines w:val="0"/>
              <w:pageBreakBefore w:val="0"/>
              <w:kinsoku/>
              <w:wordWrap/>
              <w:overflowPunct/>
              <w:topLinePunct w:val="0"/>
              <w:autoSpaceDE/>
              <w:autoSpaceDN/>
              <w:bidi w:val="0"/>
              <w:adjustRightInd/>
              <w:snapToGrid/>
              <w:spacing w:line="240" w:lineRule="auto"/>
              <w:ind w:left="0" w:leftChars="0" w:firstLine="360" w:firstLineChars="200"/>
              <w:jc w:val="both"/>
              <w:textAlignment w:val="auto"/>
              <w:rPr>
                <w:rFonts w:ascii="宋体" w:hAnsi="宋体" w:cs="宋体"/>
                <w:kern w:val="0"/>
                <w:sz w:val="18"/>
                <w:szCs w:val="18"/>
              </w:rPr>
            </w:pPr>
            <w:r>
              <w:rPr>
                <w:rFonts w:hint="eastAsia" w:ascii="宋体" w:hAnsi="宋体" w:eastAsia="宋体" w:cs="宋体"/>
                <w:sz w:val="18"/>
                <w:szCs w:val="18"/>
              </w:rPr>
              <w:t>关于平顶山市第二人民医院门诊医技楼装修、配套设备工程（门诊医技楼新建项目二标段）项目公开招标公告中资格要求的“</w:t>
            </w:r>
            <w:r>
              <w:rPr>
                <w:rFonts w:hint="eastAsia" w:ascii="宋体" w:hAnsi="宋体" w:cs="宋体"/>
                <w:kern w:val="0"/>
                <w:sz w:val="18"/>
                <w:szCs w:val="18"/>
              </w:rPr>
              <w:t>具有履行合同所必须的设备和专业技术能力（提供承诺函，并具有建筑装饰装修工程专业承包一级资质、建筑工程施工总承包一级及以上资质、工程设计乙级及以上资质”的质疑回复：</w:t>
            </w:r>
          </w:p>
          <w:p>
            <w:pPr>
              <w:keepNext w:val="0"/>
              <w:keepLines w:val="0"/>
              <w:pageBreakBefore w:val="0"/>
              <w:kinsoku/>
              <w:wordWrap/>
              <w:overflowPunct/>
              <w:topLinePunct w:val="0"/>
              <w:autoSpaceDE/>
              <w:autoSpaceDN/>
              <w:bidi w:val="0"/>
              <w:adjustRightInd/>
              <w:snapToGrid/>
              <w:spacing w:line="240" w:lineRule="auto"/>
              <w:ind w:firstLine="360" w:firstLineChars="200"/>
              <w:jc w:val="both"/>
              <w:textAlignment w:val="auto"/>
              <w:rPr>
                <w:rFonts w:ascii="宋体" w:hAnsi="宋体" w:cs="宋体"/>
                <w:kern w:val="0"/>
                <w:sz w:val="18"/>
                <w:szCs w:val="18"/>
              </w:rPr>
            </w:pPr>
            <w:r>
              <w:rPr>
                <w:rFonts w:hint="eastAsia" w:ascii="宋体" w:hAnsi="宋体" w:cs="宋体"/>
                <w:kern w:val="0"/>
                <w:sz w:val="18"/>
                <w:szCs w:val="18"/>
              </w:rPr>
              <w:t>回复质疑1：</w:t>
            </w:r>
            <w:r>
              <w:rPr>
                <w:rFonts w:ascii="宋体" w:hAnsi="宋体" w:cs="宋体"/>
                <w:kern w:val="0"/>
                <w:sz w:val="18"/>
                <w:szCs w:val="18"/>
              </w:rPr>
              <w:t xml:space="preserve"> 本项目具体资质要求已做变更，详见</w:t>
            </w:r>
            <w:r>
              <w:rPr>
                <w:rFonts w:hint="eastAsia" w:ascii="宋体" w:hAnsi="宋体" w:cs="宋体"/>
                <w:kern w:val="0"/>
                <w:sz w:val="18"/>
                <w:szCs w:val="18"/>
              </w:rPr>
              <w:t>《河南省政府采购网》、《平顶山市政府采购网》、《全国公共资源交易平台》、《全国公共资源交易平台（河南省）》、《全国公共资源交易平台（河南省.平顶山）》网站，本项目变更公告。</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leftChars="0" w:right="-512" w:rightChars="-244" w:firstLine="360" w:firstLineChars="200"/>
              <w:jc w:val="both"/>
              <w:textAlignment w:val="auto"/>
              <w:rPr>
                <w:rFonts w:ascii="宋体" w:hAnsi="宋体" w:cs="宋体"/>
                <w:kern w:val="0"/>
                <w:sz w:val="18"/>
                <w:szCs w:val="18"/>
              </w:rPr>
            </w:pPr>
            <w:r>
              <w:rPr>
                <w:rFonts w:hint="eastAsia" w:ascii="宋体" w:hAnsi="宋体" w:cs="宋体"/>
                <w:kern w:val="0"/>
                <w:sz w:val="18"/>
                <w:szCs w:val="18"/>
              </w:rPr>
              <w:t>回复质疑2、3：平顶山市第二人民医院门诊医技楼装修、配套设备工程（门诊医技楼新建项目二标段）项目设计施工图中明确需要中标人与建设方进行二次深化设计，如;施工图建施-02中车库内车挡、减速档、防撞板（此项工作内容施工前，需和甲方二次确认，并提供二次深化图纸;施工图建施-04中工程做法表（一）内墙8（适用于手术室等房间，由中标公司专业深化设计）、内墙9（适用于有防辐射要求的房间，由中标专业公司深化设计）；控制价计入方式为（需专业公司深化设计，按暂估做处理）;施工图建施-04中工程做法表（一）棚3（适用于手术室等房间，由中标专业公司深化设计）棚4（适用于有防辐射要求的房间，由中标专业公司深化设计）;施工图设计说明（二）第17.条专项设计内容中明确要求：1、建筑幕墙工程(玻璃幕墙、金属板幕墙、石材幕墙等)2.出入口上方钢结构玻璃雨蓬(防护挑檐)、防火挑檐工程、室内外钢结构楼梯工程。需要由具有资质的专业公司,依照国家现行有关规范进行施工图专项设计和施工,并对设计文件承担责任。目前以上工程均无施工详图，无法指导施工，需按照原设计单位的有关要求，由具有资质的专业设计单位在结合原设计单位意见的基础上进行二次深化设计；针对该深化内容明确要求中标人对图纸进行二次深化设计，故采购范围中要求：平顶山市第二人民医院门诊医技楼部分分部分项工程需二次深化设计内容（包含设计）；故该项目要求投标人须具有建筑工程行业设计乙级及以上资质。</w:t>
            </w:r>
          </w:p>
          <w:p>
            <w:pPr>
              <w:keepNext w:val="0"/>
              <w:keepLines w:val="0"/>
              <w:pageBreakBefore w:val="0"/>
              <w:kinsoku/>
              <w:wordWrap/>
              <w:overflowPunct/>
              <w:topLinePunct w:val="0"/>
              <w:autoSpaceDE/>
              <w:autoSpaceDN/>
              <w:bidi w:val="0"/>
              <w:adjustRightInd/>
              <w:snapToGrid/>
              <w:spacing w:line="240" w:lineRule="auto"/>
              <w:ind w:firstLine="360" w:firstLineChars="200"/>
              <w:jc w:val="both"/>
              <w:textAlignment w:val="auto"/>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本项目安全员应具有的岗位证书，是否与投标人须知前附表第9条“合同实质性要求”第五点“其他要求”第6项“专职安全生产管理人员是指经建设主管部门或者其他有关部门安全生产考核合格，并取得安全生产考核合格证书在企业从事安全生产管理工作的专职人员”所述证书相同？</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中铁十四局集团有限公司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2022/2/22 10:13</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r>
              <w:rPr>
                <w:rFonts w:hint="eastAsia" w:asciiTheme="minorEastAsia" w:hAnsiTheme="minorEastAsia"/>
                <w:b/>
                <w:sz w:val="18"/>
                <w:szCs w:val="18"/>
              </w:rPr>
              <w:t>回复：</w:t>
            </w:r>
            <w:r>
              <w:rPr>
                <w:rFonts w:hint="eastAsia" w:asciiTheme="minorEastAsia" w:hAnsiTheme="minorEastAsia"/>
                <w:sz w:val="18"/>
                <w:szCs w:val="18"/>
              </w:rPr>
              <w:t>本项目安全员要求为：具有有效的岗位证书，为投标单位正式员工，有投标单位签订的劳动合同及投标单位2021年1月至今任意连续6个月为其缴纳的养老保险证明为准；本项目专职安全员是指经建设主管部门或者其他有关部门安全生产考核合格，并取得安全生产考核合格证书在企业从事安全生产管理工作的专职人员，专职安全员的劳动合同和养老保险应与其他项目组成人员相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spacing w:line="240" w:lineRule="auto"/>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质疑项目的名称及编号：平顶山市第二人民医院门诊医技楼装修、配套设备工程（门诊医技楼新建项目二标段）（项目编号：2022-01-12） </w:t>
            </w:r>
          </w:p>
          <w:p>
            <w:pPr>
              <w:keepNext w:val="0"/>
              <w:keepLines w:val="0"/>
              <w:widowControl/>
              <w:numPr>
                <w:ilvl w:val="0"/>
                <w:numId w:val="3"/>
              </w:numPr>
              <w:suppressLineNumbers w:val="0"/>
              <w:spacing w:line="240" w:lineRule="auto"/>
              <w:ind w:left="0" w:lef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质疑事项：招标文件第一章招标公告第二节第三条第二款要求“同时具有建筑装饰装修工程专业承包一级资质、建筑工程施工总承包一级及以上资质、工程设计乙级及以上资质”不合理，根据相关资质规定装饰工程作为分包工程仅需装饰资质即可。 </w:t>
            </w:r>
          </w:p>
          <w:p>
            <w:pPr>
              <w:keepNext w:val="0"/>
              <w:keepLines w:val="0"/>
              <w:widowControl/>
              <w:numPr>
                <w:ilvl w:val="0"/>
                <w:numId w:val="3"/>
              </w:numPr>
              <w:suppressLineNumbers w:val="0"/>
              <w:spacing w:line="240" w:lineRule="auto"/>
              <w:ind w:left="0" w:lef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质疑事项相关的请求：请求招标人参照相关法律法规并结合采购项目实际情况合理设定申请人资格要求。 </w:t>
            </w:r>
          </w:p>
          <w:p>
            <w:pPr>
              <w:keepNext w:val="0"/>
              <w:keepLines w:val="0"/>
              <w:widowControl/>
              <w:numPr>
                <w:ilvl w:val="0"/>
                <w:numId w:val="3"/>
              </w:numPr>
              <w:suppressLineNumbers w:val="0"/>
              <w:spacing w:line="240" w:lineRule="auto"/>
              <w:ind w:left="0" w:lef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事实依据：《平顶山市政府采购网》、《全国公共资源交易平台（河南省 平顶山）》等相关媒介发布的招标公告及招标文件。 </w:t>
            </w:r>
          </w:p>
          <w:p>
            <w:pPr>
              <w:keepNext w:val="0"/>
              <w:keepLines w:val="0"/>
              <w:widowControl/>
              <w:numPr>
                <w:ilvl w:val="0"/>
                <w:numId w:val="3"/>
              </w:numPr>
              <w:suppressLineNumbers w:val="0"/>
              <w:spacing w:line="240" w:lineRule="auto"/>
              <w:ind w:left="0" w:lef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必要的法律依据：豫建建【2016】25号全文如下： </w:t>
            </w:r>
          </w:p>
          <w:p>
            <w:pPr>
              <w:keepNext w:val="0"/>
              <w:keepLines w:val="0"/>
              <w:widowControl/>
              <w:numPr>
                <w:ilvl w:val="0"/>
                <w:numId w:val="4"/>
              </w:numPr>
              <w:suppressLineNumbers w:val="0"/>
              <w:spacing w:line="240" w:lineRule="auto"/>
              <w:ind w:left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施工总承包工程应由取得相应施工总承包资质的企业承担。取得施工总承包资质的企业可以对所承接的施工总承包工程内各专业工程全部自行施工，也可以将专业工程依法进行分包。</w:t>
            </w:r>
          </w:p>
          <w:p>
            <w:pPr>
              <w:keepNext w:val="0"/>
              <w:keepLines w:val="0"/>
              <w:widowControl/>
              <w:numPr>
                <w:ilvl w:val="0"/>
                <w:numId w:val="0"/>
              </w:numPr>
              <w:suppressLineNumbers w:val="0"/>
              <w:spacing w:line="240" w:lineRule="auto"/>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二、设有专业承包资质的专业工程单独发包时，应由取得相应专业承包资质的企业承担。取得相应专业承包资质的企业可以承接具有施工总承包资质的企业依法分包的专业工程或建设单位依法发包的专业工程。</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河南瑞和装饰安装工程有限公司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2022/2/22 15:17</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18"/>
                <w:szCs w:val="18"/>
              </w:rPr>
            </w:pPr>
            <w:r>
              <w:rPr>
                <w:rFonts w:ascii="宋体" w:hAnsi="宋体" w:cs="宋体"/>
                <w:b/>
                <w:kern w:val="0"/>
                <w:sz w:val="18"/>
                <w:szCs w:val="18"/>
              </w:rPr>
              <w:t>回复：</w:t>
            </w:r>
            <w:r>
              <w:rPr>
                <w:rFonts w:ascii="宋体" w:hAnsi="宋体" w:cs="宋体"/>
                <w:kern w:val="0"/>
                <w:sz w:val="18"/>
                <w:szCs w:val="18"/>
              </w:rPr>
              <w:t>本项目具体资质要求已做变更，详见</w:t>
            </w:r>
            <w:r>
              <w:rPr>
                <w:rFonts w:hint="eastAsia" w:ascii="宋体" w:hAnsi="宋体" w:cs="宋体"/>
                <w:kern w:val="0"/>
                <w:sz w:val="18"/>
                <w:szCs w:val="18"/>
              </w:rPr>
              <w:t>《河南省政府采购网》、《平顶山市政府采购网》、《全国公共资源交易平台》、《全国公共资源交易平台（河南省）》、《全国公共资源交易平台（河南省.平顶山）》网站，本项目变更公告。</w:t>
            </w:r>
          </w:p>
          <w:p>
            <w:pPr>
              <w:spacing w:line="240" w:lineRule="auto"/>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质疑函 1、质疑项目：平顶山市第二人民医院门诊医技楼装修、配套设备工程（门诊医技楼新建项目二标段）项目 2、质疑请求：招标文件对投标人资质条件要求具有建筑装饰装修工程专业承包一级资质、建筑工程施工总承包一级及以上资质、工程设计乙级及以上资质；装修项目要求总承包一级资质存在排斥其他潜在投标人来参加投标嫌疑。 3、相关诉求：请取消总承包一级资质的要求。 4、法律依据：根据《中华人民共和国建筑业企业资质标准》（建市[2014]159号）第一章总则 第三节业务范围 第二条：规定，设有专业承包资质的专业工程单独发包时，应由取得相应专业承包资质的企业承担。 贵州瑞丰盛兴建筑工程有限公司 地址：贵州省都匀市经济开发区大坪镇 众望种业公司二楼201/202/203 联系人：仓振亚 电话：13312550673</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贵州瑞丰盛兴建筑工程有限公司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2022/2/23 14:59</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asciiTheme="minorEastAsia" w:hAnsiTheme="minorEastAsia"/>
                <w:sz w:val="18"/>
                <w:szCs w:val="18"/>
              </w:rPr>
            </w:pPr>
            <w:r>
              <w:rPr>
                <w:rFonts w:hint="eastAsia" w:asciiTheme="minorEastAsia" w:hAnsiTheme="minorEastAsia"/>
                <w:b/>
                <w:bCs/>
                <w:sz w:val="18"/>
                <w:szCs w:val="18"/>
              </w:rPr>
              <w:t>回复：</w:t>
            </w:r>
            <w:r>
              <w:rPr>
                <w:rFonts w:hint="eastAsia" w:asciiTheme="minorEastAsia" w:hAnsiTheme="minorEastAsia"/>
                <w:sz w:val="18"/>
                <w:szCs w:val="18"/>
              </w:rPr>
              <w:t>本项目具体资质要求已做变更，详见《河南省政府采购网》、《平顶山市政府采购网》、《全国公共资源交易平台》、《全国公共资源交易平台（河南省）》、《全国公共资源交易平台（河南省</w:t>
            </w:r>
            <w:r>
              <w:rPr>
                <w:rFonts w:asciiTheme="minorEastAsia" w:hAnsiTheme="minorEastAsia"/>
                <w:sz w:val="18"/>
                <w:szCs w:val="18"/>
              </w:rPr>
              <w:t>.平顶山）》网站，本项目变更公告。</w:t>
            </w:r>
          </w:p>
          <w:p>
            <w:pPr>
              <w:spacing w:line="240" w:lineRule="auto"/>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sz w:val="18"/>
                <w:szCs w:val="18"/>
                <w:lang w:val="en-US" w:eastAsia="zh-CN"/>
              </w:rPr>
            </w:pPr>
            <w:r>
              <w:rPr>
                <w:rFonts w:hint="eastAsia"/>
                <w:sz w:val="18"/>
                <w:szCs w:val="18"/>
                <w:lang w:val="en-US" w:eastAsia="zh-CN"/>
              </w:rPr>
              <w:t>关于本项目图纸的一些问题：</w:t>
            </w:r>
          </w:p>
          <w:p>
            <w:pPr>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平顶山市第二人民医院门诊医技楼新建项目二标段-</w:t>
            </w:r>
            <w:r>
              <w:rPr>
                <w:rFonts w:hint="eastAsia" w:ascii="宋体" w:hAnsi="宋体" w:cs="宋体"/>
                <w:b/>
                <w:bCs/>
                <w:sz w:val="18"/>
                <w:szCs w:val="18"/>
                <w:lang w:val="en-US" w:eastAsia="zh-CN"/>
              </w:rPr>
              <w:t>工程量</w:t>
            </w:r>
            <w:r>
              <w:rPr>
                <w:rFonts w:hint="eastAsia" w:ascii="宋体" w:hAnsi="宋体" w:eastAsia="宋体" w:cs="宋体"/>
                <w:b/>
                <w:bCs/>
                <w:sz w:val="18"/>
                <w:szCs w:val="18"/>
                <w:lang w:val="en-US" w:eastAsia="zh-CN"/>
              </w:rPr>
              <w:t>答疑</w:t>
            </w:r>
          </w:p>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景观给排水：</w:t>
            </w:r>
          </w:p>
          <w:p>
            <w:pPr>
              <w:numPr>
                <w:ilvl w:val="0"/>
                <w:numId w:val="5"/>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纸SS-4-01给排水安装详图设计，①快速取水阀外有雨鸟成品箱体保护，但是清单中无此箱体，是否漏项？②图纸设计快速取水阀下有混凝土基础固定，清单中无此描述，是否漏项？③图纸设计主管与快速取水阀由竖直支管连接，清单中无此支管，是否漏项？</w:t>
            </w:r>
          </w:p>
          <w:p>
            <w:pPr>
              <w:numPr>
                <w:ilvl w:val="0"/>
                <w:numId w:val="0"/>
              </w:numP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5267325" cy="3860800"/>
                  <wp:effectExtent l="0" t="0" r="9525"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267325" cy="3860800"/>
                          </a:xfrm>
                          <a:prstGeom prst="rect">
                            <a:avLst/>
                          </a:prstGeom>
                          <a:noFill/>
                          <a:ln>
                            <a:noFill/>
                          </a:ln>
                        </pic:spPr>
                      </pic:pic>
                    </a:graphicData>
                  </a:graphic>
                </wp:inline>
              </w:drawing>
            </w:r>
          </w:p>
          <w:p>
            <w:pPr>
              <w:numPr>
                <w:ilvl w:val="0"/>
                <w:numId w:val="5"/>
              </w:numPr>
              <w:ind w:left="0" w:leftChars="0" w:firstLine="0" w:firstLine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景观给水清单中有2个水表，但是水表井只有1个，请复核清单是否有误。</w:t>
            </w:r>
          </w:p>
          <w:p>
            <w:pPr>
              <w:numPr>
                <w:ilvl w:val="0"/>
                <w:numId w:val="0"/>
              </w:numPr>
              <w:rPr>
                <w:rFonts w:hint="eastAsia" w:ascii="宋体" w:hAnsi="宋体" w:eastAsia="宋体" w:cs="宋体"/>
                <w:color w:val="FF0000"/>
                <w:sz w:val="18"/>
                <w:szCs w:val="18"/>
                <w:lang w:val="en-US" w:eastAsia="zh-CN"/>
              </w:rPr>
            </w:pPr>
          </w:p>
          <w:p>
            <w:pPr>
              <w:numPr>
                <w:ilvl w:val="0"/>
                <w:numId w:val="5"/>
              </w:numPr>
              <w:ind w:left="0" w:leftChars="0" w:firstLine="0" w:firstLine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景观雨水清单中有10个塑料检查井，但平面图中有12个（南侧6个，北侧6个），请复核清单是否有误。</w:t>
            </w:r>
          </w:p>
          <w:p>
            <w:pPr>
              <w:numPr>
                <w:ilvl w:val="0"/>
                <w:numId w:val="5"/>
              </w:numPr>
              <w:ind w:left="0" w:leftChars="0" w:firstLine="0" w:firstLine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图纸设计检查井上需要设计井盖，清单中没有，请复核清单是否漏项。</w:t>
            </w:r>
          </w:p>
          <w:p>
            <w:pPr>
              <w:numPr>
                <w:ilvl w:val="0"/>
                <w:numId w:val="0"/>
              </w:numPr>
              <w:ind w:leftChars="0"/>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5268595" cy="750570"/>
                  <wp:effectExtent l="0" t="0" r="825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5268595" cy="750570"/>
                          </a:xfrm>
                          <a:prstGeom prst="rect">
                            <a:avLst/>
                          </a:prstGeom>
                          <a:noFill/>
                          <a:ln>
                            <a:noFill/>
                          </a:ln>
                        </pic:spPr>
                      </pic:pic>
                    </a:graphicData>
                  </a:graphic>
                </wp:inline>
              </w:drawing>
            </w:r>
            <w:r>
              <w:rPr>
                <w:rFonts w:hint="eastAsia" w:ascii="宋体" w:hAnsi="宋体" w:eastAsia="宋体" w:cs="宋体"/>
                <w:sz w:val="18"/>
                <w:szCs w:val="18"/>
              </w:rPr>
              <w:drawing>
                <wp:inline distT="0" distB="0" distL="114300" distR="114300">
                  <wp:extent cx="5265420" cy="396240"/>
                  <wp:effectExtent l="0" t="0" r="11430"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5265420" cy="396240"/>
                          </a:xfrm>
                          <a:prstGeom prst="rect">
                            <a:avLst/>
                          </a:prstGeom>
                          <a:noFill/>
                          <a:ln>
                            <a:noFill/>
                          </a:ln>
                        </pic:spPr>
                      </pic:pic>
                    </a:graphicData>
                  </a:graphic>
                </wp:inline>
              </w:drawing>
            </w:r>
          </w:p>
          <w:p>
            <w:pPr>
              <w:numPr>
                <w:ilvl w:val="0"/>
                <w:numId w:val="0"/>
              </w:numPr>
              <w:ind w:leftChars="0"/>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景观电气：</w:t>
            </w:r>
          </w:p>
          <w:p>
            <w:pPr>
              <w:numPr>
                <w:ilvl w:val="0"/>
                <w:numId w:val="6"/>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图纸设计有接地，清单中没有，请复核是否漏项。</w:t>
            </w:r>
          </w:p>
          <w:p>
            <w:pPr>
              <w:numPr>
                <w:ilvl w:val="0"/>
                <w:numId w:val="0"/>
              </w:numPr>
              <w:rPr>
                <w:rFonts w:hint="eastAsia"/>
                <w:b/>
                <w:bCs/>
                <w:sz w:val="18"/>
                <w:szCs w:val="18"/>
                <w:lang w:val="en-US" w:eastAsia="zh-CN"/>
              </w:rPr>
            </w:pPr>
            <w:r>
              <w:rPr>
                <w:rFonts w:hint="eastAsia"/>
                <w:b/>
                <w:bCs/>
                <w:sz w:val="18"/>
                <w:szCs w:val="18"/>
                <w:lang w:val="en-US" w:eastAsia="zh-CN"/>
              </w:rPr>
              <w:t>医用气体：</w:t>
            </w:r>
          </w:p>
          <w:p>
            <w:pPr>
              <w:numPr>
                <w:ilvl w:val="0"/>
                <w:numId w:val="7"/>
              </w:numPr>
              <w:ind w:leftChars="0"/>
              <w:rPr>
                <w:rFonts w:hint="eastAsia"/>
                <w:sz w:val="18"/>
                <w:szCs w:val="18"/>
                <w:lang w:val="en-US" w:eastAsia="zh-CN"/>
              </w:rPr>
            </w:pPr>
            <w:r>
              <w:rPr>
                <w:rFonts w:hint="eastAsia"/>
                <w:sz w:val="18"/>
                <w:szCs w:val="18"/>
                <w:lang w:val="en-US" w:eastAsia="zh-CN"/>
              </w:rPr>
              <w:t>平面图设计有6个氧气二级稳压箱（-1/3/5/12/13/14层各一个），清单中只有4个氧气二级调压箱，请复核清单是否有误。</w:t>
            </w:r>
          </w:p>
          <w:p>
            <w:pPr>
              <w:numPr>
                <w:ilvl w:val="0"/>
                <w:numId w:val="7"/>
              </w:numPr>
              <w:ind w:left="0" w:leftChars="0" w:firstLine="0" w:firstLineChars="0"/>
              <w:rPr>
                <w:rFonts w:hint="eastAsia"/>
                <w:sz w:val="18"/>
                <w:szCs w:val="18"/>
                <w:lang w:val="en-US" w:eastAsia="zh-CN"/>
              </w:rPr>
            </w:pPr>
            <w:r>
              <w:rPr>
                <w:rFonts w:hint="eastAsia"/>
                <w:sz w:val="18"/>
                <w:szCs w:val="18"/>
                <w:lang w:val="en-US" w:eastAsia="zh-CN"/>
              </w:rPr>
              <w:t>以医用氧气为例，平面图中氧气管道尺寸为φ10*1.0、φ12*1.2、φ12*1.5、φ25*2.0，但清单中管道尺寸与此不符，请复核清单是否有误。（其他系统也有此问题）</w:t>
            </w:r>
          </w:p>
          <w:p>
            <w:pPr>
              <w:numPr>
                <w:ilvl w:val="0"/>
                <w:numId w:val="7"/>
              </w:numPr>
              <w:ind w:left="0" w:leftChars="0" w:firstLine="0" w:firstLine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图纸中未设计医用氮气、医用笑气、医用热力系统，清单中有，请复核。</w:t>
            </w:r>
          </w:p>
          <w:p>
            <w:pPr>
              <w:numPr>
                <w:ilvl w:val="0"/>
                <w:numId w:val="0"/>
              </w:numPr>
              <w:ind w:leftChars="0"/>
              <w:rPr>
                <w:rFonts w:hint="eastAsia" w:ascii="宋体" w:hAnsi="宋体" w:cs="宋体"/>
                <w:b/>
                <w:bCs/>
                <w:color w:val="auto"/>
                <w:sz w:val="18"/>
                <w:szCs w:val="18"/>
                <w:lang w:val="en-US" w:eastAsia="zh-CN"/>
              </w:rPr>
            </w:pPr>
            <w:r>
              <w:rPr>
                <w:rFonts w:hint="eastAsia" w:ascii="宋体" w:hAnsi="宋体" w:cs="宋体"/>
                <w:b/>
                <w:bCs/>
                <w:color w:val="auto"/>
                <w:sz w:val="18"/>
                <w:szCs w:val="18"/>
                <w:lang w:val="en-US" w:eastAsia="zh-CN"/>
              </w:rPr>
              <w:t>智能化系统：</w:t>
            </w:r>
          </w:p>
          <w:p>
            <w:pPr>
              <w:numPr>
                <w:ilvl w:val="0"/>
                <w:numId w:val="8"/>
              </w:numPr>
              <w:ind w:leftChars="0"/>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门禁系统中，普通门门禁扩展箱出线至出门按钮、门磁开关、磁力锁电源线为RVV-2*1.0，清单中无此项，请复核清单。</w:t>
            </w:r>
          </w:p>
          <w:p>
            <w:pPr>
              <w:numPr>
                <w:ilvl w:val="0"/>
                <w:numId w:val="0"/>
              </w:numPr>
              <w:rPr>
                <w:sz w:val="18"/>
                <w:szCs w:val="18"/>
              </w:rPr>
            </w:pPr>
            <w:r>
              <w:rPr>
                <w:sz w:val="18"/>
                <w:szCs w:val="18"/>
              </w:rPr>
              <w:drawing>
                <wp:inline distT="0" distB="0" distL="114300" distR="114300">
                  <wp:extent cx="5272405" cy="1149985"/>
                  <wp:effectExtent l="0" t="0" r="4445"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2405" cy="1149985"/>
                          </a:xfrm>
                          <a:prstGeom prst="rect">
                            <a:avLst/>
                          </a:prstGeom>
                          <a:noFill/>
                          <a:ln>
                            <a:noFill/>
                          </a:ln>
                        </pic:spPr>
                      </pic:pic>
                    </a:graphicData>
                  </a:graphic>
                </wp:inline>
              </w:drawing>
            </w:r>
          </w:p>
          <w:p>
            <w:pPr>
              <w:numPr>
                <w:ilvl w:val="0"/>
                <w:numId w:val="8"/>
              </w:numPr>
              <w:ind w:left="0" w:leftChars="0" w:firstLine="0" w:firstLine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医用呼叫对讲系统，双面显示屏信号线RVVP-3*1.0及开门信号线RVV-2*1.0清单中无此项，请复核。</w:t>
            </w:r>
          </w:p>
          <w:p>
            <w:pPr>
              <w:numPr>
                <w:ilvl w:val="0"/>
                <w:numId w:val="0"/>
              </w:numPr>
              <w:ind w:leftChars="0"/>
              <w:rPr>
                <w:rFonts w:hint="default" w:ascii="宋体" w:hAnsi="宋体" w:cs="宋体"/>
                <w:color w:val="auto"/>
                <w:sz w:val="18"/>
                <w:szCs w:val="18"/>
                <w:lang w:val="en-US" w:eastAsia="zh-CN"/>
              </w:rPr>
            </w:pPr>
            <w:r>
              <w:rPr>
                <w:sz w:val="18"/>
                <w:szCs w:val="18"/>
              </w:rPr>
              <w:drawing>
                <wp:inline distT="0" distB="0" distL="114300" distR="114300">
                  <wp:extent cx="5271135" cy="2654935"/>
                  <wp:effectExtent l="0" t="0" r="571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271135" cy="2654935"/>
                          </a:xfrm>
                          <a:prstGeom prst="rect">
                            <a:avLst/>
                          </a:prstGeom>
                          <a:noFill/>
                          <a:ln>
                            <a:noFill/>
                          </a:ln>
                        </pic:spPr>
                      </pic:pic>
                    </a:graphicData>
                  </a:graphic>
                </wp:inline>
              </w:drawing>
            </w:r>
          </w:p>
          <w:p>
            <w:pPr>
              <w:numPr>
                <w:ilvl w:val="0"/>
                <w:numId w:val="0"/>
              </w:numPr>
              <w:ind w:leftChars="0"/>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装饰装修</w:t>
            </w:r>
            <w:r>
              <w:rPr>
                <w:rFonts w:hint="eastAsia" w:ascii="宋体" w:hAnsi="宋体" w:eastAsia="宋体" w:cs="宋体"/>
                <w:b/>
                <w:bCs/>
                <w:sz w:val="18"/>
                <w:szCs w:val="18"/>
                <w:lang w:val="en-US" w:eastAsia="zh-CN"/>
              </w:rPr>
              <w:t>：</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1、沉降观测点、集水坑盖板、截水沟盖板、集水坑检修爬梯未列项，是否在本次招标范围请明确；</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2、建筑说明9.8条内墙阳角抹灰未列项，是否施工请明确；</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3、建筑安全玻璃未在清单描述中体现，是否有安全玻璃要求请明确；</w:t>
            </w:r>
          </w:p>
          <w:p>
            <w:pPr>
              <w:numPr>
                <w:ilvl w:val="0"/>
                <w:numId w:val="0"/>
              </w:numPr>
              <w:ind w:leftChars="0"/>
              <w:rPr>
                <w:rFonts w:hint="eastAsia" w:ascii="宋体" w:hAnsi="宋体" w:cs="宋体"/>
                <w:color w:val="auto"/>
                <w:sz w:val="18"/>
                <w:szCs w:val="18"/>
                <w:lang w:val="en-US" w:eastAsia="zh-CN"/>
              </w:rPr>
            </w:pP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4、二标段地下部分-土建清单“内墙5”做法与图纸设计不一致，是否以清单为准请明确；</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5、二标段地下部分-土建清单“门诊手术室 楼面5”无清单项，是否有误请明确；</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6、卫生间洗脸台是否在本次招标范围，若在请明确具体做法；</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7、无障碍安全抓杆是否在本次招标范围，请明确；</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b/>
                <w:bCs/>
                <w:sz w:val="18"/>
                <w:szCs w:val="18"/>
                <w:lang w:val="en-US" w:eastAsia="zh-CN"/>
              </w:rPr>
              <w:t>景观</w:t>
            </w:r>
            <w:r>
              <w:rPr>
                <w:rFonts w:hint="eastAsia" w:ascii="宋体" w:hAnsi="宋体" w:eastAsia="宋体" w:cs="宋体"/>
                <w:b/>
                <w:bCs/>
                <w:sz w:val="18"/>
                <w:szCs w:val="18"/>
                <w:lang w:val="en-US" w:eastAsia="zh-CN"/>
              </w:rPr>
              <w:t>：</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1、景观铺装工程无沥青道路清单，是否在本次招标范围请明确；</w:t>
            </w:r>
          </w:p>
          <w:p>
            <w:pPr>
              <w:numPr>
                <w:ilvl w:val="0"/>
                <w:numId w:val="0"/>
              </w:numPr>
              <w:ind w:leftChars="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2、景观部分主出入口大门是否在本次招标范围请明确；</w:t>
            </w:r>
          </w:p>
          <w:p>
            <w:pPr>
              <w:numPr>
                <w:ilvl w:val="0"/>
                <w:numId w:val="0"/>
              </w:numPr>
              <w:ind w:leftChars="0"/>
              <w:rPr>
                <w:rFonts w:hint="eastAsia" w:ascii="宋体" w:hAnsi="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18"/>
                <w:szCs w:val="18"/>
                <w:lang w:val="en-US" w:eastAsia="zh-CN"/>
                <w14:textFill>
                  <w14:solidFill>
                    <w14:schemeClr w14:val="tx1"/>
                  </w14:solidFill>
                </w14:textFill>
              </w:rPr>
              <w:t>共性问题：每个单位工程工程量清单报表中表14主要材料价格表列出来的材料类型较多，投标预算中表14主要材料价格表是否要与发布的工程量清单中表14主要材料价格表中所列出的每项材料都要相互对应？</w:t>
            </w:r>
          </w:p>
          <w:p>
            <w:pPr>
              <w:numPr>
                <w:ilvl w:val="0"/>
                <w:numId w:val="0"/>
              </w:numPr>
              <w:ind w:leftChars="0"/>
              <w:rPr>
                <w:rFonts w:hint="default" w:ascii="宋体" w:hAnsi="宋体" w:eastAsia="宋体" w:cs="宋体"/>
                <w:color w:val="FF0000"/>
                <w:sz w:val="18"/>
                <w:szCs w:val="18"/>
                <w:lang w:val="en-US" w:eastAsia="zh-CN"/>
              </w:rPr>
            </w:pPr>
          </w:p>
          <w:p>
            <w:pPr>
              <w:pStyle w:val="2"/>
              <w:ind w:left="0" w:leftChars="0" w:firstLine="0" w:firstLineChars="0"/>
              <w:rPr>
                <w:rFonts w:hint="eastAsia"/>
                <w:sz w:val="18"/>
                <w:szCs w:val="18"/>
              </w:rPr>
            </w:pP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中国二冶集团有限公司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2022/2/23 16:46</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spacing w:line="240" w:lineRule="auto"/>
              <w:rPr>
                <w:rFonts w:ascii="宋体" w:hAnsi="宋体" w:cs="宋体"/>
                <w:sz w:val="18"/>
                <w:szCs w:val="18"/>
              </w:rPr>
            </w:pPr>
            <w:r>
              <w:rPr>
                <w:rFonts w:hint="eastAsia" w:ascii="宋体" w:hAnsi="宋体" w:cs="宋体"/>
                <w:b/>
                <w:bCs/>
                <w:sz w:val="18"/>
                <w:szCs w:val="18"/>
              </w:rPr>
              <w:t>景观给排水：</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1</w:t>
            </w:r>
            <w:r>
              <w:rPr>
                <w:rFonts w:hint="eastAsia" w:ascii="宋体" w:hAnsi="宋体" w:cs="宋体"/>
                <w:color w:val="FF0000"/>
                <w:sz w:val="18"/>
                <w:szCs w:val="18"/>
              </w:rPr>
              <w:t>：以清单为准。</w:t>
            </w:r>
          </w:p>
          <w:p>
            <w:pPr>
              <w:numPr>
                <w:ilvl w:val="0"/>
                <w:numId w:val="0"/>
              </w:num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2</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3</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4</w:t>
            </w:r>
            <w:r>
              <w:rPr>
                <w:rFonts w:hint="eastAsia" w:ascii="宋体" w:hAnsi="宋体" w:cs="宋体"/>
                <w:color w:val="FF0000"/>
                <w:sz w:val="18"/>
                <w:szCs w:val="18"/>
              </w:rPr>
              <w:t>：包含在检查井清单内。</w:t>
            </w:r>
          </w:p>
          <w:p>
            <w:pPr>
              <w:spacing w:line="240" w:lineRule="auto"/>
              <w:rPr>
                <w:rFonts w:ascii="宋体" w:hAnsi="宋体" w:cs="宋体"/>
                <w:b/>
                <w:bCs/>
                <w:sz w:val="18"/>
                <w:szCs w:val="18"/>
              </w:rPr>
            </w:pPr>
            <w:r>
              <w:rPr>
                <w:rFonts w:hint="eastAsia" w:ascii="宋体" w:hAnsi="宋体" w:cs="宋体"/>
                <w:b/>
                <w:bCs/>
                <w:sz w:val="18"/>
                <w:szCs w:val="18"/>
              </w:rPr>
              <w:t>景观电气：</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1</w:t>
            </w:r>
            <w:r>
              <w:rPr>
                <w:rFonts w:hint="eastAsia" w:ascii="宋体" w:hAnsi="宋体" w:cs="宋体"/>
                <w:color w:val="FF0000"/>
                <w:sz w:val="18"/>
                <w:szCs w:val="18"/>
              </w:rPr>
              <w:t>：包含在路灯安装清单内</w:t>
            </w:r>
          </w:p>
          <w:p>
            <w:pPr>
              <w:spacing w:line="240" w:lineRule="auto"/>
              <w:rPr>
                <w:b/>
                <w:bCs/>
                <w:sz w:val="18"/>
                <w:szCs w:val="18"/>
              </w:rPr>
            </w:pPr>
            <w:r>
              <w:rPr>
                <w:rFonts w:hint="eastAsia"/>
                <w:b/>
                <w:bCs/>
                <w:sz w:val="18"/>
                <w:szCs w:val="18"/>
              </w:rPr>
              <w:t>医用气体：</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1</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2</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3</w:t>
            </w:r>
            <w:r>
              <w:rPr>
                <w:rFonts w:hint="eastAsia" w:ascii="宋体" w:hAnsi="宋体" w:cs="宋体"/>
                <w:color w:val="FF0000"/>
                <w:sz w:val="18"/>
                <w:szCs w:val="18"/>
              </w:rPr>
              <w:t>：以清单为准</w:t>
            </w:r>
          </w:p>
          <w:p>
            <w:pPr>
              <w:spacing w:line="240" w:lineRule="auto"/>
              <w:rPr>
                <w:rFonts w:ascii="宋体" w:hAnsi="宋体" w:cs="宋体"/>
                <w:b/>
                <w:bCs/>
                <w:sz w:val="18"/>
                <w:szCs w:val="18"/>
              </w:rPr>
            </w:pPr>
            <w:r>
              <w:rPr>
                <w:rFonts w:hint="eastAsia" w:ascii="宋体" w:hAnsi="宋体" w:cs="宋体"/>
                <w:b/>
                <w:bCs/>
                <w:sz w:val="18"/>
                <w:szCs w:val="18"/>
              </w:rPr>
              <w:t>智能化系统：</w:t>
            </w:r>
          </w:p>
          <w:p>
            <w:pPr>
              <w:numPr>
                <w:ilvl w:val="0"/>
                <w:numId w:val="0"/>
              </w:num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1</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2</w:t>
            </w:r>
            <w:r>
              <w:rPr>
                <w:rFonts w:hint="eastAsia" w:ascii="宋体" w:hAnsi="宋体" w:cs="宋体"/>
                <w:color w:val="FF0000"/>
                <w:sz w:val="18"/>
                <w:szCs w:val="18"/>
              </w:rPr>
              <w:t>：以清单为准。</w:t>
            </w:r>
          </w:p>
          <w:p>
            <w:pPr>
              <w:spacing w:line="240" w:lineRule="auto"/>
              <w:rPr>
                <w:rFonts w:ascii="宋体" w:hAnsi="宋体" w:cs="宋体"/>
                <w:b/>
                <w:bCs/>
                <w:sz w:val="18"/>
                <w:szCs w:val="18"/>
              </w:rPr>
            </w:pPr>
            <w:r>
              <w:rPr>
                <w:rFonts w:hint="eastAsia" w:ascii="宋体" w:hAnsi="宋体" w:cs="宋体"/>
                <w:b/>
                <w:bCs/>
                <w:sz w:val="18"/>
                <w:szCs w:val="18"/>
              </w:rPr>
              <w:t>装饰装修：</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1</w:t>
            </w:r>
            <w:r>
              <w:rPr>
                <w:rFonts w:hint="eastAsia" w:ascii="宋体" w:hAnsi="宋体" w:cs="宋体"/>
                <w:color w:val="FF0000"/>
                <w:sz w:val="18"/>
                <w:szCs w:val="18"/>
              </w:rPr>
              <w:t>：以清单为准。</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2</w:t>
            </w:r>
            <w:r>
              <w:rPr>
                <w:rFonts w:hint="eastAsia" w:ascii="宋体" w:hAnsi="宋体" w:cs="宋体"/>
                <w:color w:val="FF0000"/>
                <w:sz w:val="18"/>
                <w:szCs w:val="18"/>
              </w:rPr>
              <w:t>：已包含在墙面抹灰内</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3</w:t>
            </w:r>
            <w:r>
              <w:rPr>
                <w:rFonts w:hint="eastAsia" w:ascii="宋体" w:hAnsi="宋体" w:cs="宋体"/>
                <w:color w:val="FF0000"/>
                <w:sz w:val="18"/>
                <w:szCs w:val="18"/>
              </w:rPr>
              <w:t>：以清单为准</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4</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5</w:t>
            </w:r>
            <w:r>
              <w:rPr>
                <w:rFonts w:hint="eastAsia" w:ascii="宋体" w:hAnsi="宋体" w:cs="宋体"/>
                <w:color w:val="FF0000"/>
                <w:sz w:val="18"/>
                <w:szCs w:val="18"/>
              </w:rPr>
              <w:t>：设计图纸中地下部分无 “门诊手术室 楼面5” 项。</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6</w:t>
            </w:r>
            <w:r>
              <w:rPr>
                <w:rFonts w:hint="eastAsia" w:ascii="宋体" w:hAnsi="宋体" w:cs="宋体"/>
                <w:color w:val="FF0000"/>
                <w:sz w:val="18"/>
                <w:szCs w:val="18"/>
              </w:rPr>
              <w:t>：以清单为准</w:t>
            </w:r>
          </w:p>
          <w:p>
            <w:pPr>
              <w:spacing w:line="240" w:lineRule="auto"/>
              <w:rPr>
                <w:rFonts w:ascii="宋体" w:hAnsi="宋体" w:cs="宋体"/>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7</w:t>
            </w:r>
            <w:r>
              <w:rPr>
                <w:rFonts w:hint="eastAsia" w:ascii="宋体" w:hAnsi="宋体" w:cs="宋体"/>
                <w:color w:val="FF0000"/>
                <w:sz w:val="18"/>
                <w:szCs w:val="18"/>
              </w:rPr>
              <w:t>：清单编号010507005002 请查阅</w:t>
            </w:r>
          </w:p>
          <w:p>
            <w:pPr>
              <w:spacing w:line="240" w:lineRule="auto"/>
              <w:rPr>
                <w:rFonts w:ascii="宋体" w:hAnsi="宋体" w:cs="宋体"/>
                <w:sz w:val="18"/>
                <w:szCs w:val="18"/>
              </w:rPr>
            </w:pPr>
            <w:r>
              <w:rPr>
                <w:rFonts w:hint="eastAsia" w:ascii="宋体" w:hAnsi="宋体" w:cs="宋体"/>
                <w:b/>
                <w:bCs/>
                <w:sz w:val="18"/>
                <w:szCs w:val="18"/>
              </w:rPr>
              <w:t>景观：</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1</w:t>
            </w:r>
            <w:r>
              <w:rPr>
                <w:rFonts w:hint="eastAsia" w:ascii="宋体" w:hAnsi="宋体" w:cs="宋体"/>
                <w:color w:val="FF0000"/>
                <w:sz w:val="18"/>
                <w:szCs w:val="18"/>
              </w:rPr>
              <w:t>：以清单为准</w:t>
            </w:r>
          </w:p>
          <w:p>
            <w:pPr>
              <w:spacing w:line="240" w:lineRule="auto"/>
              <w:rPr>
                <w:rFonts w:ascii="宋体" w:hAnsi="宋体" w:cs="宋体"/>
                <w:color w:val="FF0000"/>
                <w:sz w:val="18"/>
                <w:szCs w:val="18"/>
              </w:rPr>
            </w:pPr>
            <w:r>
              <w:rPr>
                <w:rFonts w:hint="eastAsia" w:ascii="宋体" w:hAnsi="宋体" w:cs="宋体"/>
                <w:color w:val="FF0000"/>
                <w:sz w:val="18"/>
                <w:szCs w:val="18"/>
              </w:rPr>
              <w:t>回复</w:t>
            </w:r>
            <w:r>
              <w:rPr>
                <w:rFonts w:hint="eastAsia" w:ascii="宋体" w:hAnsi="宋体" w:cs="宋体"/>
                <w:color w:val="FF0000"/>
                <w:sz w:val="18"/>
                <w:szCs w:val="18"/>
                <w:lang w:val="en-US" w:eastAsia="zh-CN"/>
              </w:rPr>
              <w:t>2</w:t>
            </w:r>
            <w:r>
              <w:rPr>
                <w:rFonts w:hint="eastAsia" w:ascii="宋体" w:hAnsi="宋体" w:cs="宋体"/>
                <w:color w:val="FF0000"/>
                <w:sz w:val="18"/>
                <w:szCs w:val="18"/>
              </w:rPr>
              <w:t>：以清单为准</w:t>
            </w:r>
          </w:p>
          <w:p>
            <w:pPr>
              <w:spacing w:line="240" w:lineRule="auto"/>
              <w:rPr>
                <w:rFonts w:hint="eastAsia" w:ascii="宋体" w:hAnsi="宋体" w:cs="宋体"/>
                <w:b/>
                <w:bCs/>
                <w:color w:val="000000" w:themeColor="text1"/>
                <w:sz w:val="18"/>
                <w:szCs w:val="18"/>
                <w:lang w:eastAsia="zh-CN"/>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共性问题</w:t>
            </w:r>
            <w:r>
              <w:rPr>
                <w:rFonts w:hint="eastAsia" w:ascii="宋体" w:hAnsi="宋体" w:cs="宋体"/>
                <w:b/>
                <w:bCs/>
                <w:color w:val="000000" w:themeColor="text1"/>
                <w:sz w:val="18"/>
                <w:szCs w:val="18"/>
                <w:lang w:eastAsia="zh-CN"/>
                <w14:textFill>
                  <w14:solidFill>
                    <w14:schemeClr w14:val="tx1"/>
                  </w14:solidFill>
                </w14:textFill>
              </w:rPr>
              <w:t>：</w:t>
            </w:r>
          </w:p>
          <w:p>
            <w:pPr>
              <w:spacing w:line="240" w:lineRule="auto"/>
              <w:rPr>
                <w:rFonts w:hint="eastAsia" w:ascii="宋体" w:hAnsi="宋体" w:eastAsia="宋体" w:cs="宋体"/>
                <w:i w:val="0"/>
                <w:iCs w:val="0"/>
                <w:color w:val="000000"/>
                <w:sz w:val="18"/>
                <w:szCs w:val="18"/>
                <w:u w:val="none"/>
              </w:rPr>
            </w:pPr>
            <w:r>
              <w:rPr>
                <w:rFonts w:hint="eastAsia" w:ascii="宋体" w:hAnsi="宋体" w:cs="宋体"/>
                <w:color w:val="FF0000"/>
                <w:sz w:val="18"/>
                <w:szCs w:val="18"/>
              </w:rPr>
              <w:t>回复：依据投标软件要求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第一标段</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sz w:val="18"/>
                <w:szCs w:val="18"/>
                <w:lang w:val="en-US" w:eastAsia="zh-CN"/>
              </w:rPr>
            </w:pPr>
            <w:r>
              <w:rPr>
                <w:rFonts w:hint="eastAsia"/>
                <w:sz w:val="18"/>
                <w:szCs w:val="18"/>
                <w:lang w:val="en-US" w:eastAsia="zh-CN"/>
              </w:rPr>
              <w:t>质疑投诉平顶山市第二人民医院门诊医技楼装修、配套设备工程（门诊医技楼新建项目二标段）项目（项目编号：2022-01-12 ）招标文件如下内容：</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ind w:left="0" w:leftChars="0" w:firstLine="199" w:firstLineChars="111"/>
              <w:jc w:val="left"/>
              <w:textAlignment w:val="auto"/>
              <w:rPr>
                <w:rFonts w:hint="eastAsia"/>
                <w:sz w:val="18"/>
                <w:szCs w:val="18"/>
                <w:lang w:val="en-US" w:eastAsia="zh-CN"/>
              </w:rPr>
            </w:pPr>
            <w:r>
              <w:rPr>
                <w:rFonts w:hint="eastAsia"/>
                <w:sz w:val="18"/>
                <w:szCs w:val="18"/>
                <w:lang w:val="en-US" w:eastAsia="zh-CN"/>
              </w:rPr>
              <w:t>第三章 评标办法前附表“2.1.2资格评审标准注：3、资格审查小组（由代理公司和业主负责组建）负责资格审核工作，评标委员会不应对资质资料做二次评审或因此内容做出否决投标人文件的判断与决定。”违反招投标法和政府采购相关法律法规。</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199" w:firstLineChars="111"/>
              <w:jc w:val="left"/>
              <w:textAlignment w:val="auto"/>
              <w:rPr>
                <w:rFonts w:hint="default"/>
                <w:sz w:val="18"/>
                <w:szCs w:val="18"/>
                <w:lang w:val="en-US" w:eastAsia="zh-CN"/>
              </w:rPr>
            </w:pPr>
            <w:r>
              <w:rPr>
                <w:rFonts w:hint="eastAsia"/>
                <w:sz w:val="18"/>
                <w:szCs w:val="18"/>
                <w:lang w:val="en-US" w:eastAsia="zh-CN"/>
              </w:rPr>
              <w:t>因为“资格审查小组”是需要在资格预审项目评标的情况下成立的评标委员会的专用称谓，而本项目在招标公告中明确“本次采购采用资格后审”，故设立所谓的“资格审查小组”无从谈起，更无法律法规依据，本项目无论资格评审或是评分都应以评标委员会为唯一评定机构。</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ind w:left="0" w:leftChars="0" w:firstLine="199" w:firstLineChars="111"/>
              <w:jc w:val="left"/>
              <w:textAlignment w:val="auto"/>
              <w:rPr>
                <w:rFonts w:hint="eastAsia"/>
                <w:sz w:val="18"/>
                <w:szCs w:val="18"/>
                <w:lang w:val="en-US" w:eastAsia="zh-CN"/>
              </w:rPr>
            </w:pPr>
            <w:r>
              <w:rPr>
                <w:rFonts w:hint="eastAsia"/>
                <w:sz w:val="18"/>
                <w:szCs w:val="18"/>
                <w:lang w:val="en-US" w:eastAsia="zh-CN"/>
              </w:rPr>
              <w:t>P23页“6.1.1 评标由招标人依法组建的评标委员会负责。评标委员会由招标人</w:t>
            </w:r>
            <w:r>
              <w:rPr>
                <w:rFonts w:hint="eastAsia"/>
                <w:b/>
                <w:bCs/>
                <w:sz w:val="18"/>
                <w:szCs w:val="18"/>
                <w:lang w:val="en-US" w:eastAsia="zh-CN"/>
              </w:rPr>
              <w:t>或其委托的招标代理机构熟悉相关业务的代表</w:t>
            </w:r>
            <w:r>
              <w:rPr>
                <w:rFonts w:hint="eastAsia"/>
                <w:sz w:val="18"/>
                <w:szCs w:val="18"/>
                <w:lang w:val="en-US" w:eastAsia="zh-CN"/>
              </w:rPr>
              <w:t>，以及有关技术、经济等方面的专家组成。”违反《中华人民共和国招投标法》第三十七条 评标由招标人依法组建的评标委员会负责。依法必须进行招标的项目，其评标委员会由</w:t>
            </w:r>
            <w:r>
              <w:rPr>
                <w:rFonts w:hint="eastAsia"/>
                <w:b/>
                <w:bCs/>
                <w:sz w:val="18"/>
                <w:szCs w:val="18"/>
                <w:lang w:val="en-US" w:eastAsia="zh-CN"/>
              </w:rPr>
              <w:t>招标人的代表</w:t>
            </w:r>
            <w:r>
              <w:rPr>
                <w:rFonts w:hint="eastAsia"/>
                <w:sz w:val="18"/>
                <w:szCs w:val="18"/>
                <w:lang w:val="en-US" w:eastAsia="zh-CN"/>
              </w:rPr>
              <w:t>和有关技术、经济等方面的专家组成......和《政府采购货物和服务招标投标管理办法》第四十七条 评标委员会由采购人代表和评审专家组成......，因为以上两部法律法规明确表示“评标委员会由</w:t>
            </w:r>
            <w:r>
              <w:rPr>
                <w:rFonts w:hint="eastAsia"/>
                <w:b/>
                <w:bCs/>
                <w:sz w:val="18"/>
                <w:szCs w:val="18"/>
                <w:lang w:val="en-US" w:eastAsia="zh-CN"/>
              </w:rPr>
              <w:t>招标人的代表</w:t>
            </w:r>
            <w:r>
              <w:rPr>
                <w:rFonts w:hint="eastAsia"/>
                <w:sz w:val="18"/>
                <w:szCs w:val="18"/>
                <w:lang w:val="en-US" w:eastAsia="zh-CN"/>
              </w:rPr>
              <w:t>和有关技术、经济等方面的专家组成”，而本招标文件公然将“</w:t>
            </w:r>
            <w:r>
              <w:rPr>
                <w:rFonts w:hint="eastAsia"/>
                <w:b/>
                <w:bCs/>
                <w:sz w:val="18"/>
                <w:szCs w:val="18"/>
                <w:lang w:val="en-US" w:eastAsia="zh-CN"/>
              </w:rPr>
              <w:t>招标代理机构熟悉相关业务的代表</w:t>
            </w:r>
            <w:r>
              <w:rPr>
                <w:rFonts w:hint="eastAsia"/>
                <w:sz w:val="18"/>
                <w:szCs w:val="18"/>
                <w:lang w:val="en-US" w:eastAsia="zh-CN"/>
              </w:rPr>
              <w:t>”列为委托专家范围，意指何在？这是用招标代理机构熟悉相关业务的代表去操作控制评标过程吧？</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ind w:left="0" w:leftChars="0" w:firstLine="199" w:firstLineChars="111"/>
              <w:jc w:val="left"/>
              <w:textAlignment w:val="auto"/>
              <w:rPr>
                <w:rFonts w:hint="default"/>
                <w:b/>
                <w:bCs/>
                <w:sz w:val="18"/>
                <w:szCs w:val="18"/>
                <w:lang w:val="en-US" w:eastAsia="zh-CN"/>
              </w:rPr>
            </w:pPr>
            <w:r>
              <w:rPr>
                <w:rFonts w:hint="eastAsia"/>
                <w:sz w:val="18"/>
                <w:szCs w:val="18"/>
                <w:lang w:val="en-US" w:eastAsia="zh-CN"/>
              </w:rPr>
              <w:t>P30页2.2.4（3）综合部分评分标准（15分）1、企业业绩“企业2018年1月1日以来承担过类似项目业绩，提供</w:t>
            </w:r>
            <w:r>
              <w:rPr>
                <w:rFonts w:hint="eastAsia"/>
                <w:b w:val="0"/>
                <w:bCs w:val="0"/>
                <w:sz w:val="18"/>
                <w:szCs w:val="18"/>
                <w:lang w:val="en-US" w:eastAsia="zh-CN"/>
              </w:rPr>
              <w:t>官方网站公示的中标公示查询截图</w:t>
            </w:r>
            <w:r>
              <w:rPr>
                <w:rFonts w:hint="eastAsia"/>
                <w:sz w:val="18"/>
                <w:szCs w:val="18"/>
                <w:lang w:val="en-US" w:eastAsia="zh-CN"/>
              </w:rPr>
              <w:t>、中标通知书原件扫描件、合同原件扫描件、</w:t>
            </w:r>
            <w:r>
              <w:rPr>
                <w:rFonts w:hint="eastAsia"/>
                <w:b w:val="0"/>
                <w:bCs w:val="0"/>
                <w:sz w:val="18"/>
                <w:szCs w:val="18"/>
                <w:lang w:val="en-US" w:eastAsia="zh-CN"/>
              </w:rPr>
              <w:t>竣工验收报告</w:t>
            </w:r>
            <w:r>
              <w:rPr>
                <w:rFonts w:hint="eastAsia"/>
                <w:sz w:val="18"/>
                <w:szCs w:val="18"/>
                <w:lang w:val="en-US" w:eastAsia="zh-CN"/>
              </w:rPr>
              <w:t>原件扫描件，日期以合同签订日期为准。若为在建工程，提供</w:t>
            </w:r>
            <w:r>
              <w:rPr>
                <w:rFonts w:hint="eastAsia"/>
                <w:b/>
                <w:bCs/>
                <w:sz w:val="18"/>
                <w:szCs w:val="18"/>
                <w:lang w:val="en-US" w:eastAsia="zh-CN"/>
              </w:rPr>
              <w:t>官方网站公示的中标公示查询截图</w:t>
            </w:r>
            <w:r>
              <w:rPr>
                <w:rFonts w:hint="eastAsia"/>
                <w:sz w:val="18"/>
                <w:szCs w:val="18"/>
                <w:lang w:val="en-US" w:eastAsia="zh-CN"/>
              </w:rPr>
              <w:t>、中标通知书原件扫描件、合同原件扫描件，日期以合同签订日期为准。每有一个得2分，最多得6分；与资格要求业绩不可重复。类似项目业绩是指：</w:t>
            </w:r>
            <w:r>
              <w:rPr>
                <w:rFonts w:hint="eastAsia"/>
                <w:b/>
                <w:bCs/>
                <w:sz w:val="18"/>
                <w:szCs w:val="18"/>
                <w:lang w:val="en-US" w:eastAsia="zh-CN"/>
              </w:rPr>
              <w:t>中标金额不低于6000万元</w:t>
            </w:r>
            <w:r>
              <w:rPr>
                <w:rFonts w:hint="eastAsia"/>
                <w:sz w:val="18"/>
                <w:szCs w:val="18"/>
                <w:lang w:val="en-US" w:eastAsia="zh-CN"/>
              </w:rPr>
              <w:t>或建筑面积不低于40000㎡的公共建筑工程装饰装修业绩”违反</w:t>
            </w:r>
            <w:r>
              <w:rPr>
                <w:rFonts w:hint="eastAsia"/>
                <w:b/>
                <w:bCs/>
                <w:sz w:val="18"/>
                <w:szCs w:val="18"/>
                <w:lang w:val="en-US" w:eastAsia="zh-CN"/>
              </w:rPr>
              <w:t>《中华人民共和国招投标法实施条例》第三十二条 招标人不得以不合理的条件限制、排斥潜在投标人或者投标人。招标人有下列行为之一的，属于以不合理条件限制、排斥潜在投标人或者投标人：(二)设定的资格、技术、商务条件与招标项目的具体特点和实际需要不相适应或者与合同履行无关；和《中华人民共和国政府采购法实施条例》第二十条 采购人或者采购代理机构有下列情形之一的，属于以不合理的条件对供应商实行差别待遇或者歧视待遇：（二）设定的资格、技术、商务条件与采购项目的具体特点和实际需要不相适应或者与合同履行无关；。</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199" w:firstLineChars="111"/>
              <w:jc w:val="left"/>
              <w:textAlignment w:val="auto"/>
              <w:rPr>
                <w:rFonts w:hint="eastAsia"/>
                <w:b w:val="0"/>
                <w:bCs w:val="0"/>
                <w:sz w:val="18"/>
                <w:szCs w:val="18"/>
                <w:lang w:val="en-US" w:eastAsia="zh-CN"/>
              </w:rPr>
            </w:pPr>
            <w:r>
              <w:rPr>
                <w:rFonts w:hint="eastAsia"/>
                <w:b w:val="0"/>
                <w:bCs w:val="0"/>
                <w:sz w:val="18"/>
                <w:szCs w:val="18"/>
                <w:lang w:val="en-US" w:eastAsia="zh-CN"/>
              </w:rPr>
              <w:t>理由：“</w:t>
            </w:r>
            <w:r>
              <w:rPr>
                <w:rFonts w:hint="eastAsia"/>
                <w:b/>
                <w:bCs/>
                <w:sz w:val="18"/>
                <w:szCs w:val="18"/>
                <w:lang w:val="en-US" w:eastAsia="zh-CN"/>
              </w:rPr>
              <w:t>官方网站公示的中标公示查询截图</w:t>
            </w:r>
            <w:r>
              <w:rPr>
                <w:rFonts w:hint="eastAsia"/>
                <w:b w:val="0"/>
                <w:bCs w:val="0"/>
                <w:sz w:val="18"/>
                <w:szCs w:val="18"/>
                <w:lang w:val="en-US" w:eastAsia="zh-CN"/>
              </w:rPr>
              <w:t>”直接将潜在投标人非政府公开招投标的业绩排除在外了；“</w:t>
            </w:r>
            <w:r>
              <w:rPr>
                <w:rFonts w:hint="eastAsia"/>
                <w:b/>
                <w:bCs/>
                <w:sz w:val="18"/>
                <w:szCs w:val="18"/>
                <w:lang w:val="en-US" w:eastAsia="zh-CN"/>
              </w:rPr>
              <w:t>中标金额不低于6000万元</w:t>
            </w:r>
            <w:r>
              <w:rPr>
                <w:rFonts w:hint="eastAsia"/>
                <w:b w:val="0"/>
                <w:bCs w:val="0"/>
                <w:sz w:val="18"/>
                <w:szCs w:val="18"/>
                <w:lang w:val="en-US" w:eastAsia="zh-CN"/>
              </w:rPr>
              <w:t>”与“预算金额：59800143.79元”不匹配。</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ind w:left="0" w:leftChars="0" w:firstLine="199" w:firstLineChars="111"/>
              <w:jc w:val="left"/>
              <w:textAlignment w:val="auto"/>
              <w:rPr>
                <w:rFonts w:hint="eastAsia"/>
                <w:b/>
                <w:bCs/>
                <w:sz w:val="18"/>
                <w:szCs w:val="18"/>
                <w:lang w:val="en-US" w:eastAsia="zh-CN"/>
              </w:rPr>
            </w:pPr>
            <w:r>
              <w:rPr>
                <w:rFonts w:hint="eastAsia"/>
                <w:b w:val="0"/>
                <w:bCs w:val="0"/>
                <w:sz w:val="18"/>
                <w:szCs w:val="18"/>
                <w:lang w:val="en-US" w:eastAsia="zh-CN"/>
              </w:rPr>
              <w:t>2022-02-24发布的更正公告中“二、申请人的资格要求：3.2具有履行合同所必须的设备和专业技术能力（提供承诺函，并具有建筑工程施工总承包贰级及以上资质、</w:t>
            </w:r>
            <w:r>
              <w:rPr>
                <w:rFonts w:hint="eastAsia"/>
                <w:b/>
                <w:bCs/>
                <w:sz w:val="18"/>
                <w:szCs w:val="18"/>
                <w:lang w:val="en-US" w:eastAsia="zh-CN"/>
              </w:rPr>
              <w:t>建筑工程行业设计乙级及以上资质；</w:t>
            </w:r>
            <w:r>
              <w:rPr>
                <w:rFonts w:hint="eastAsia"/>
                <w:b w:val="0"/>
                <w:bCs w:val="0"/>
                <w:sz w:val="18"/>
                <w:szCs w:val="18"/>
                <w:lang w:val="en-US" w:eastAsia="zh-CN"/>
              </w:rPr>
              <w:t>”</w:t>
            </w:r>
            <w:r>
              <w:rPr>
                <w:rFonts w:hint="eastAsia"/>
                <w:sz w:val="18"/>
                <w:szCs w:val="18"/>
                <w:lang w:val="en-US" w:eastAsia="zh-CN"/>
              </w:rPr>
              <w:t>违反</w:t>
            </w:r>
            <w:r>
              <w:rPr>
                <w:rFonts w:hint="eastAsia"/>
                <w:b/>
                <w:bCs/>
                <w:sz w:val="18"/>
                <w:szCs w:val="18"/>
                <w:lang w:val="en-US" w:eastAsia="zh-CN"/>
              </w:rPr>
              <w:t>《中华人民共和国招投标法实施条例》第三十二条 招标人不得以不合理的条件限制、排斥潜在投标人或者投标人和《政府采购货物和服务招标投标管理办法》第二十五条 招标文件、资格预审文件的内容不得违反法律、行政法规、强制性标准、政府采购政策，或者违反公开透明、公平竞争、公正和诚实信用原则。有前款规定情形，影响潜在投标人投标或者资格预审结果的，采购人或者采购代理机构应当修改招标文件或者资格预审文件后重新招标。</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199" w:firstLineChars="111"/>
              <w:jc w:val="left"/>
              <w:textAlignment w:val="auto"/>
              <w:rPr>
                <w:rFonts w:hint="eastAsia"/>
              </w:rPr>
            </w:pPr>
            <w:r>
              <w:rPr>
                <w:rFonts w:hint="eastAsia"/>
                <w:b w:val="0"/>
                <w:bCs w:val="0"/>
                <w:sz w:val="18"/>
                <w:szCs w:val="18"/>
                <w:lang w:val="en-US" w:eastAsia="zh-CN"/>
              </w:rPr>
              <w:t>理由：与本标段同时发标的一标段同样包含多个专业工程范围都没有要求设计资质，而本标段却要求设计资质；另外即使公告中所述有二次深化设计内容的情况属实，那么请明确二次深化设计内容的专业范围，是装修？是智能化？是医用气体？是电梯？还是硬化铺装及绿化？这样的话要求设计资质也应与相应专业匹配，装修专业要求装修设计资质，智能化专业要求智能化设计资质......而不是笼统一概而论，这样的话对潜在投标人既不公开又不公平，甚至有故意设置竞争壁垒、为某些特定潜在单位量身定做的嫌疑。</w:t>
            </w:r>
          </w:p>
        </w:tc>
        <w:tc>
          <w:tcPr>
            <w:tcW w:w="2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河南省闽惠盛装饰工程有限公司</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供应商已查看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2022/2/25 14:48</w:t>
            </w:r>
          </w:p>
        </w:tc>
        <w:tc>
          <w:tcPr>
            <w:tcW w:w="6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firstLineChars="200"/>
              <w:rPr>
                <w:rFonts w:hint="eastAsia"/>
                <w:sz w:val="18"/>
                <w:szCs w:val="18"/>
                <w:highlight w:val="none"/>
              </w:rPr>
            </w:pPr>
            <w:r>
              <w:rPr>
                <w:rFonts w:hint="eastAsia"/>
                <w:sz w:val="18"/>
                <w:szCs w:val="18"/>
                <w:highlight w:val="none"/>
              </w:rPr>
              <w:t>回复</w:t>
            </w:r>
            <w:r>
              <w:rPr>
                <w:rFonts w:hint="eastAsia"/>
                <w:sz w:val="18"/>
                <w:szCs w:val="18"/>
                <w:highlight w:val="none"/>
                <w:lang w:val="en-US" w:eastAsia="zh-CN"/>
              </w:rPr>
              <w:t>1</w:t>
            </w:r>
            <w:r>
              <w:rPr>
                <w:rFonts w:hint="eastAsia"/>
                <w:sz w:val="18"/>
                <w:szCs w:val="18"/>
                <w:highlight w:val="none"/>
              </w:rPr>
              <w:t>：原文件规定基于财政部87号令，感谢宝贵提议，现已变更为根据《中华人民共和国招标投标法》等有关法律、法规和规章的规定由评审小组进行审查。具体详见2.28日变更公告。</w:t>
            </w:r>
          </w:p>
          <w:p>
            <w:pPr>
              <w:ind w:firstLine="360" w:firstLineChars="200"/>
              <w:rPr>
                <w:rFonts w:hint="eastAsia"/>
                <w:sz w:val="18"/>
                <w:szCs w:val="18"/>
                <w:highlight w:val="none"/>
              </w:rPr>
            </w:pPr>
            <w:r>
              <w:rPr>
                <w:rFonts w:hint="eastAsia"/>
                <w:sz w:val="18"/>
                <w:szCs w:val="18"/>
                <w:highlight w:val="none"/>
              </w:rPr>
              <w:t>回复</w:t>
            </w:r>
            <w:r>
              <w:rPr>
                <w:rFonts w:hint="eastAsia"/>
                <w:sz w:val="18"/>
                <w:szCs w:val="18"/>
                <w:highlight w:val="none"/>
                <w:lang w:val="en-US" w:eastAsia="zh-CN"/>
              </w:rPr>
              <w:t>2</w:t>
            </w:r>
            <w:r>
              <w:rPr>
                <w:rFonts w:hint="eastAsia"/>
                <w:sz w:val="18"/>
                <w:szCs w:val="18"/>
                <w:highlight w:val="none"/>
              </w:rPr>
              <w:t>：《中华人民共和国标准施工招标文件》（2007年版）中第6.1.1明确规定，评标由招标人依法组建的评标委员会负责。评标委员会由招标人或其委托的招标代理机构熟悉相关业务的代表，以及有关技术、经济等方面的专家组成。评标委员会成员人数以及技术、经济等方面专家的确定；评标委员会和评标方法暂行规定（发改委等7部委12号令）第九条明确规定：评标委员会由招标人或其委托的</w:t>
            </w:r>
            <w:r>
              <w:rPr>
                <w:rFonts w:hint="eastAsia"/>
                <w:sz w:val="18"/>
                <w:szCs w:val="18"/>
                <w:highlight w:val="none"/>
              </w:rPr>
              <w:fldChar w:fldCharType="begin"/>
            </w:r>
            <w:r>
              <w:rPr>
                <w:rFonts w:hint="eastAsia"/>
                <w:sz w:val="18"/>
                <w:szCs w:val="18"/>
                <w:highlight w:val="none"/>
              </w:rPr>
              <w:instrText xml:space="preserve"> HYPERLINK "http://baike.baidu.com/view/75768.htm" \t "_blank" </w:instrText>
            </w:r>
            <w:r>
              <w:rPr>
                <w:rFonts w:hint="eastAsia"/>
                <w:sz w:val="18"/>
                <w:szCs w:val="18"/>
                <w:highlight w:val="none"/>
              </w:rPr>
              <w:fldChar w:fldCharType="separate"/>
            </w:r>
            <w:r>
              <w:rPr>
                <w:rFonts w:hint="eastAsia"/>
                <w:sz w:val="18"/>
                <w:szCs w:val="18"/>
                <w:highlight w:val="none"/>
              </w:rPr>
              <w:t>招标代理机构</w:t>
            </w:r>
            <w:r>
              <w:rPr>
                <w:rFonts w:hint="eastAsia"/>
                <w:sz w:val="18"/>
                <w:szCs w:val="18"/>
                <w:highlight w:val="none"/>
              </w:rPr>
              <w:fldChar w:fldCharType="end"/>
            </w:r>
            <w:r>
              <w:rPr>
                <w:rFonts w:hint="eastAsia"/>
                <w:sz w:val="18"/>
                <w:szCs w:val="18"/>
                <w:highlight w:val="none"/>
              </w:rPr>
              <w:t>熟悉相关业务的代表，以及有关技术、经济等方面的专家组成。本次招标的评标委员会由招标人依法组建，其中业主代表两人，其余评标委员会成员均为在监督下从平顶山市公共资源交易中心随机抽取。</w:t>
            </w:r>
          </w:p>
          <w:p>
            <w:pPr>
              <w:pStyle w:val="2"/>
              <w:ind w:left="0" w:leftChars="0" w:firstLine="360" w:firstLineChars="200"/>
              <w:rPr>
                <w:rFonts w:hint="eastAsia"/>
                <w:sz w:val="18"/>
                <w:szCs w:val="18"/>
                <w:highlight w:val="none"/>
              </w:rPr>
            </w:pPr>
            <w:r>
              <w:rPr>
                <w:rFonts w:hint="eastAsia"/>
                <w:sz w:val="18"/>
                <w:szCs w:val="18"/>
                <w:highlight w:val="none"/>
              </w:rPr>
              <w:t>回复</w:t>
            </w:r>
            <w:r>
              <w:rPr>
                <w:rFonts w:hint="eastAsia"/>
                <w:sz w:val="18"/>
                <w:szCs w:val="18"/>
                <w:highlight w:val="none"/>
                <w:lang w:val="en-US" w:eastAsia="zh-CN"/>
              </w:rPr>
              <w:t>3</w:t>
            </w:r>
            <w:r>
              <w:rPr>
                <w:rFonts w:hint="eastAsia"/>
                <w:sz w:val="18"/>
                <w:szCs w:val="18"/>
                <w:highlight w:val="none"/>
              </w:rPr>
              <w:t>：本项目业绩情况需要投标人提供官方网站的相关截图信息；类似项目业绩是指：中标金额不低于本项目最高投标限价或建筑面积不低于40000㎡的公共建筑工程装饰装修业绩（公共建筑是指包含办公建筑（包括写字楼、政府部门办公室等），商业建筑（如商场、金融建筑等），旅游建筑（如酒店、娱乐场所等），科教文卫建筑（包括文化、教育、科研、医疗、卫生、体育建筑等），通信建筑（如邮电、通讯、数据中心、广播用房）、交通运输类建筑（如机场、高铁站、火车站、地铁、汽车站、冷藏库等）以及其他（派出所、仓库、拘留所）等，中标金额不低于本项目最高投标限价</w:t>
            </w:r>
            <w:r>
              <w:rPr>
                <w:sz w:val="18"/>
                <w:szCs w:val="18"/>
                <w:highlight w:val="none"/>
              </w:rPr>
              <w:t>或建筑面积不低于40000㎡的公共建筑工程装饰装修业绩可以为包含建筑装修的公共建筑施工总承包业绩，但在提供的业绩资料中应明确包含有建筑装修的</w:t>
            </w:r>
            <w:r>
              <w:rPr>
                <w:rFonts w:hint="eastAsia" w:asciiTheme="minorHAnsi" w:hAnsiTheme="minorHAnsi" w:eastAsiaTheme="minorEastAsia" w:cstheme="minorBidi"/>
                <w:kern w:val="2"/>
                <w:sz w:val="18"/>
                <w:szCs w:val="18"/>
                <w:highlight w:val="none"/>
                <w:lang w:val="en-US" w:eastAsia="zh-CN" w:bidi="ar-SA"/>
              </w:rPr>
              <w:t>证明内容；</w:t>
            </w:r>
          </w:p>
          <w:p>
            <w:pPr>
              <w:pStyle w:val="2"/>
              <w:ind w:left="0" w:leftChars="0" w:firstLine="360" w:firstLineChars="200"/>
              <w:rPr>
                <w:sz w:val="18"/>
                <w:szCs w:val="18"/>
                <w:highlight w:val="none"/>
              </w:rPr>
            </w:pPr>
            <w:r>
              <w:rPr>
                <w:rFonts w:hint="eastAsia"/>
                <w:sz w:val="18"/>
                <w:szCs w:val="18"/>
                <w:highlight w:val="none"/>
              </w:rPr>
              <w:t>回复</w:t>
            </w:r>
            <w:r>
              <w:rPr>
                <w:rFonts w:hint="eastAsia"/>
                <w:sz w:val="18"/>
                <w:szCs w:val="18"/>
                <w:highlight w:val="none"/>
                <w:lang w:val="en-US" w:eastAsia="zh-CN"/>
              </w:rPr>
              <w:t>4</w:t>
            </w:r>
            <w:r>
              <w:rPr>
                <w:rFonts w:hint="eastAsia"/>
                <w:sz w:val="18"/>
                <w:szCs w:val="18"/>
                <w:highlight w:val="none"/>
              </w:rPr>
              <w:t>：本项目设计资质的问题，请参照交易系统中其他质疑回复。</w:t>
            </w:r>
          </w:p>
          <w:p>
            <w:pPr>
              <w:pStyle w:val="2"/>
              <w:rPr>
                <w:sz w:val="18"/>
                <w:szCs w:val="18"/>
                <w:highlight w:val="none"/>
              </w:rPr>
            </w:pPr>
          </w:p>
          <w:p>
            <w:pPr>
              <w:spacing w:line="240" w:lineRule="auto"/>
              <w:jc w:val="left"/>
              <w:rPr>
                <w:rFonts w:hint="eastAsia" w:ascii="宋体" w:hAnsi="宋体" w:eastAsia="宋体" w:cs="宋体"/>
                <w:i w:val="0"/>
                <w:iCs w:val="0"/>
                <w:color w:val="000000"/>
                <w:sz w:val="18"/>
                <w:szCs w:val="18"/>
                <w:highlight w:val="none"/>
                <w:u w:val="none"/>
              </w:rPr>
            </w:pPr>
          </w:p>
        </w:tc>
      </w:tr>
    </w:tbl>
    <w:p>
      <w:pPr>
        <w:rPr>
          <w:sz w:val="18"/>
          <w:szCs w:val="18"/>
        </w:rPr>
      </w:pPr>
      <w:bookmarkStart w:id="0" w:name="_GoBack"/>
      <w:bookmarkEnd w:id="0"/>
    </w:p>
    <w:sectPr>
      <w:pgSz w:w="23811" w:h="16838"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DengXian-Bold">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69BEEE"/>
    <w:multiLevelType w:val="singleLevel"/>
    <w:tmpl w:val="B369BEEE"/>
    <w:lvl w:ilvl="0" w:tentative="0">
      <w:start w:val="1"/>
      <w:numFmt w:val="decimal"/>
      <w:suff w:val="nothing"/>
      <w:lvlText w:val="%1、"/>
      <w:lvlJc w:val="left"/>
    </w:lvl>
  </w:abstractNum>
  <w:abstractNum w:abstractNumId="1">
    <w:nsid w:val="B796905D"/>
    <w:multiLevelType w:val="singleLevel"/>
    <w:tmpl w:val="B796905D"/>
    <w:lvl w:ilvl="0" w:tentative="0">
      <w:start w:val="1"/>
      <w:numFmt w:val="decimal"/>
      <w:suff w:val="nothing"/>
      <w:lvlText w:val="%1、"/>
      <w:lvlJc w:val="left"/>
    </w:lvl>
  </w:abstractNum>
  <w:abstractNum w:abstractNumId="2">
    <w:nsid w:val="DE21E545"/>
    <w:multiLevelType w:val="singleLevel"/>
    <w:tmpl w:val="DE21E545"/>
    <w:lvl w:ilvl="0" w:tentative="0">
      <w:start w:val="1"/>
      <w:numFmt w:val="decimal"/>
      <w:suff w:val="nothing"/>
      <w:lvlText w:val="%1、"/>
      <w:lvlJc w:val="left"/>
    </w:lvl>
  </w:abstractNum>
  <w:abstractNum w:abstractNumId="3">
    <w:nsid w:val="E3691645"/>
    <w:multiLevelType w:val="singleLevel"/>
    <w:tmpl w:val="E3691645"/>
    <w:lvl w:ilvl="0" w:tentative="0">
      <w:start w:val="1"/>
      <w:numFmt w:val="decimal"/>
      <w:suff w:val="nothing"/>
      <w:lvlText w:val="%1、"/>
      <w:lvlJc w:val="left"/>
      <w:pPr>
        <w:ind w:left="420"/>
      </w:pPr>
    </w:lvl>
  </w:abstractNum>
  <w:abstractNum w:abstractNumId="4">
    <w:nsid w:val="E9B7048B"/>
    <w:multiLevelType w:val="singleLevel"/>
    <w:tmpl w:val="E9B7048B"/>
    <w:lvl w:ilvl="0" w:tentative="0">
      <w:start w:val="1"/>
      <w:numFmt w:val="chineseCounting"/>
      <w:suff w:val="nothing"/>
      <w:lvlText w:val="（%1）"/>
      <w:lvlJc w:val="left"/>
      <w:rPr>
        <w:rFonts w:hint="eastAsia"/>
      </w:rPr>
    </w:lvl>
  </w:abstractNum>
  <w:abstractNum w:abstractNumId="5">
    <w:nsid w:val="21BF729C"/>
    <w:multiLevelType w:val="singleLevel"/>
    <w:tmpl w:val="21BF729C"/>
    <w:lvl w:ilvl="0" w:tentative="0">
      <w:start w:val="1"/>
      <w:numFmt w:val="chineseCounting"/>
      <w:suff w:val="nothing"/>
      <w:lvlText w:val="%1、"/>
      <w:lvlJc w:val="left"/>
      <w:rPr>
        <w:rFonts w:hint="eastAsia"/>
      </w:rPr>
    </w:lvl>
  </w:abstractNum>
  <w:abstractNum w:abstractNumId="6">
    <w:nsid w:val="2D6CE483"/>
    <w:multiLevelType w:val="singleLevel"/>
    <w:tmpl w:val="2D6CE483"/>
    <w:lvl w:ilvl="0" w:tentative="0">
      <w:start w:val="1"/>
      <w:numFmt w:val="decimal"/>
      <w:suff w:val="nothing"/>
      <w:lvlText w:val="%1、"/>
      <w:lvlJc w:val="left"/>
    </w:lvl>
  </w:abstractNum>
  <w:abstractNum w:abstractNumId="7">
    <w:nsid w:val="67E33424"/>
    <w:multiLevelType w:val="singleLevel"/>
    <w:tmpl w:val="67E33424"/>
    <w:lvl w:ilvl="0" w:tentative="0">
      <w:start w:val="1"/>
      <w:numFmt w:val="decimal"/>
      <w:suff w:val="nothing"/>
      <w:lvlText w:val="%1、"/>
      <w:lvlJc w:val="left"/>
    </w:lvl>
  </w:abstractNum>
  <w:abstractNum w:abstractNumId="8">
    <w:nsid w:val="7D8F3482"/>
    <w:multiLevelType w:val="singleLevel"/>
    <w:tmpl w:val="7D8F3482"/>
    <w:lvl w:ilvl="0" w:tentative="0">
      <w:start w:val="1"/>
      <w:numFmt w:val="decimal"/>
      <w:suff w:val="nothing"/>
      <w:lvlText w:val="%1、"/>
      <w:lvlJc w:val="left"/>
    </w:lvl>
  </w:abstractNum>
  <w:num w:numId="1">
    <w:abstractNumId w:val="0"/>
  </w:num>
  <w:num w:numId="2">
    <w:abstractNumId w:val="7"/>
  </w:num>
  <w:num w:numId="3">
    <w:abstractNumId w:val="4"/>
  </w:num>
  <w:num w:numId="4">
    <w:abstractNumId w:val="5"/>
  </w:num>
  <w:num w:numId="5">
    <w:abstractNumId w:val="8"/>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yYjFkN2I5ODI3NDg0Mjc1N2MyNzNkOWVhMjQ5OGUifQ=="/>
  </w:docVars>
  <w:rsids>
    <w:rsidRoot w:val="1A9A7C8B"/>
    <w:rsid w:val="05872E7F"/>
    <w:rsid w:val="1A9A7C8B"/>
    <w:rsid w:val="2ADC7059"/>
    <w:rsid w:val="32427031"/>
    <w:rsid w:val="455235D7"/>
    <w:rsid w:val="56436FDE"/>
    <w:rsid w:val="62634C1E"/>
    <w:rsid w:val="7D194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7">
    <w:name w:val="font41"/>
    <w:basedOn w:val="6"/>
    <w:qFormat/>
    <w:uiPriority w:val="0"/>
    <w:rPr>
      <w:rFonts w:hint="eastAsia" w:ascii="微软雅黑" w:hAnsi="微软雅黑" w:eastAsia="微软雅黑" w:cs="微软雅黑"/>
      <w:b/>
      <w:bCs/>
      <w:color w:val="000000"/>
      <w:sz w:val="36"/>
      <w:szCs w:val="36"/>
      <w:u w:val="single"/>
    </w:rPr>
  </w:style>
  <w:style w:type="character" w:customStyle="1" w:styleId="8">
    <w:name w:val="font31"/>
    <w:basedOn w:val="6"/>
    <w:qFormat/>
    <w:uiPriority w:val="0"/>
    <w:rPr>
      <w:rFonts w:hint="eastAsia" w:ascii="微软雅黑" w:hAnsi="微软雅黑" w:eastAsia="微软雅黑" w:cs="微软雅黑"/>
      <w:b/>
      <w:bCs/>
      <w:color w:val="000000"/>
      <w:sz w:val="36"/>
      <w:szCs w:val="36"/>
      <w:u w:val="none"/>
    </w:rPr>
  </w:style>
  <w:style w:type="character" w:customStyle="1" w:styleId="9">
    <w:name w:val="font51"/>
    <w:basedOn w:val="6"/>
    <w:qFormat/>
    <w:uiPriority w:val="0"/>
    <w:rPr>
      <w:rFonts w:hint="eastAsia" w:ascii="微软雅黑" w:hAnsi="微软雅黑" w:eastAsia="微软雅黑" w:cs="微软雅黑"/>
      <w:b/>
      <w:bCs/>
      <w:color w:val="000000"/>
      <w:sz w:val="36"/>
      <w:szCs w:val="36"/>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15611</Words>
  <Characters>16378</Characters>
  <Lines>0</Lines>
  <Paragraphs>0</Paragraphs>
  <TotalTime>25</TotalTime>
  <ScaleCrop>false</ScaleCrop>
  <LinksUpToDate>false</LinksUpToDate>
  <CharactersWithSpaces>16567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2022-12-05T05:30:00Z</dcterms:created>
  <dc:creator>WPS_434600327</dc:creator>
  <cp:lastModifiedBy>WPS_434600327</cp:lastModifiedBy>
  <dcterms:modified xsi:type="dcterms:W3CDTF">2022-12-05T08:42:32Z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A207304BF1D145C8BC7AA98527CEB01C</vt:lpwstr>
  </property>
</Properties>
</file>